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F3F41" w14:textId="397B9B99" w:rsidR="00093AE9" w:rsidRDefault="00093AE9" w:rsidP="00A81BF9">
      <w:pPr>
        <w:jc w:val="center"/>
        <w:rPr>
          <w:b/>
          <w:sz w:val="28"/>
          <w:szCs w:val="28"/>
        </w:rPr>
      </w:pPr>
      <w:r>
        <w:rPr>
          <w:b/>
          <w:noProof/>
          <w:sz w:val="28"/>
          <w:szCs w:val="28"/>
        </w:rPr>
        <w:drawing>
          <wp:inline distT="0" distB="0" distL="0" distR="0" wp14:anchorId="560D0350" wp14:editId="18D16965">
            <wp:extent cx="3152775" cy="947180"/>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amp;DCLogo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2847" cy="989262"/>
                    </a:xfrm>
                    <a:prstGeom prst="rect">
                      <a:avLst/>
                    </a:prstGeom>
                  </pic:spPr>
                </pic:pic>
              </a:graphicData>
            </a:graphic>
          </wp:inline>
        </w:drawing>
      </w:r>
    </w:p>
    <w:p w14:paraId="78AF6760" w14:textId="34C4F639" w:rsidR="00A81BF9" w:rsidRPr="00A81BF9" w:rsidRDefault="002662BD" w:rsidP="00A81BF9">
      <w:pPr>
        <w:jc w:val="center"/>
        <w:rPr>
          <w:b/>
          <w:sz w:val="28"/>
          <w:szCs w:val="28"/>
        </w:rPr>
      </w:pPr>
      <w:r w:rsidRPr="00A81BF9">
        <w:rPr>
          <w:b/>
          <w:sz w:val="28"/>
          <w:szCs w:val="28"/>
        </w:rPr>
        <w:t xml:space="preserve">  </w:t>
      </w:r>
      <w:r w:rsidR="00093AE9">
        <w:rPr>
          <w:b/>
          <w:sz w:val="28"/>
          <w:szCs w:val="28"/>
        </w:rPr>
        <w:br/>
      </w:r>
      <w:r w:rsidR="00A81BF9" w:rsidRPr="00A81BF9">
        <w:rPr>
          <w:b/>
          <w:caps/>
          <w:sz w:val="28"/>
          <w:szCs w:val="28"/>
        </w:rPr>
        <w:t>What You Should Know About the ADA and COVID-19</w:t>
      </w:r>
      <w:r w:rsidR="00A81BF9" w:rsidRPr="00A81BF9">
        <w:rPr>
          <w:b/>
          <w:caps/>
          <w:sz w:val="28"/>
          <w:szCs w:val="28"/>
        </w:rPr>
        <w:br/>
      </w:r>
      <w:r w:rsidR="00A81BF9" w:rsidRPr="00A81BF9">
        <w:rPr>
          <w:b/>
          <w:caps/>
          <w:sz w:val="28"/>
          <w:szCs w:val="28"/>
        </w:rPr>
        <w:br/>
      </w:r>
      <w:r w:rsidR="00A81BF9" w:rsidRPr="00A81BF9">
        <w:rPr>
          <w:b/>
          <w:sz w:val="28"/>
          <w:szCs w:val="28"/>
        </w:rPr>
        <w:t xml:space="preserve">National Business &amp; Disability Council (NBDC) </w:t>
      </w:r>
    </w:p>
    <w:p w14:paraId="7C1DCA07" w14:textId="77777777" w:rsidR="006026F0" w:rsidRPr="00A81BF9" w:rsidRDefault="00A81BF9" w:rsidP="00A81BF9">
      <w:pPr>
        <w:jc w:val="center"/>
        <w:rPr>
          <w:b/>
          <w:sz w:val="28"/>
          <w:szCs w:val="28"/>
        </w:rPr>
      </w:pPr>
      <w:r w:rsidRPr="00A81BF9">
        <w:rPr>
          <w:b/>
          <w:sz w:val="28"/>
          <w:szCs w:val="28"/>
        </w:rPr>
        <w:t xml:space="preserve">at The </w:t>
      </w:r>
      <w:proofErr w:type="spellStart"/>
      <w:r w:rsidRPr="00A81BF9">
        <w:rPr>
          <w:b/>
          <w:sz w:val="28"/>
          <w:szCs w:val="28"/>
        </w:rPr>
        <w:t>Viscardi</w:t>
      </w:r>
      <w:proofErr w:type="spellEnd"/>
      <w:r w:rsidRPr="00A81BF9">
        <w:rPr>
          <w:b/>
          <w:sz w:val="28"/>
          <w:szCs w:val="28"/>
        </w:rPr>
        <w:t xml:space="preserve"> Center </w:t>
      </w:r>
    </w:p>
    <w:p w14:paraId="1DDC6E00" w14:textId="1BA1FE7B" w:rsidR="006026F0" w:rsidRPr="00093AE9" w:rsidRDefault="00093AE9" w:rsidP="006026F0">
      <w:pPr>
        <w:jc w:val="center"/>
        <w:rPr>
          <w:b/>
        </w:rPr>
      </w:pPr>
      <w:r w:rsidRPr="00093AE9">
        <w:rPr>
          <w:b/>
        </w:rPr>
        <w:t xml:space="preserve">Supporting Information to </w:t>
      </w:r>
      <w:r w:rsidR="00A81BF9" w:rsidRPr="00093AE9">
        <w:rPr>
          <w:b/>
        </w:rPr>
        <w:t>June 24, 2020</w:t>
      </w:r>
      <w:r w:rsidRPr="00093AE9">
        <w:rPr>
          <w:b/>
        </w:rPr>
        <w:t xml:space="preserve"> Webinar</w:t>
      </w:r>
    </w:p>
    <w:p w14:paraId="2C74A86E" w14:textId="77777777" w:rsidR="006026F0" w:rsidRPr="00093AE9" w:rsidRDefault="006026F0" w:rsidP="006026F0">
      <w:pPr>
        <w:jc w:val="center"/>
        <w:rPr>
          <w:b/>
        </w:rPr>
      </w:pPr>
    </w:p>
    <w:p w14:paraId="126E40CE" w14:textId="77777777" w:rsidR="006026F0" w:rsidRDefault="006026F0" w:rsidP="006026F0">
      <w:pPr>
        <w:jc w:val="center"/>
        <w:rPr>
          <w:b/>
        </w:rPr>
      </w:pPr>
      <w:r>
        <w:rPr>
          <w:b/>
        </w:rPr>
        <w:t>Brian East</w:t>
      </w:r>
    </w:p>
    <w:p w14:paraId="123D7826" w14:textId="4411C865" w:rsidR="006026F0" w:rsidRDefault="006026F0" w:rsidP="006026F0">
      <w:pPr>
        <w:jc w:val="center"/>
        <w:rPr>
          <w:b/>
        </w:rPr>
      </w:pPr>
      <w:r>
        <w:rPr>
          <w:b/>
        </w:rPr>
        <w:t>Disability Rights Texas</w:t>
      </w:r>
      <w:r w:rsidR="00093AE9">
        <w:rPr>
          <w:b/>
        </w:rPr>
        <w:t xml:space="preserve">, </w:t>
      </w:r>
      <w:r>
        <w:rPr>
          <w:b/>
        </w:rPr>
        <w:t>Austin, Texas</w:t>
      </w:r>
    </w:p>
    <w:p w14:paraId="5B36FA22" w14:textId="77777777" w:rsidR="006026F0" w:rsidRDefault="006026F0" w:rsidP="006026F0">
      <w:pPr>
        <w:jc w:val="center"/>
        <w:rPr>
          <w:b/>
        </w:rPr>
      </w:pPr>
      <w:r w:rsidRPr="0046637C">
        <w:rPr>
          <w:rStyle w:val="Hyperlink"/>
          <w:b/>
        </w:rPr>
        <w:t>beast@drtx.org</w:t>
      </w:r>
    </w:p>
    <w:p w14:paraId="6726CA42" w14:textId="77777777" w:rsidR="006026F0" w:rsidRDefault="006026F0" w:rsidP="006026F0">
      <w:pPr>
        <w:ind w:firstLine="360"/>
        <w:jc w:val="both"/>
      </w:pPr>
    </w:p>
    <w:p w14:paraId="562A32FF" w14:textId="77777777" w:rsidR="006026F0" w:rsidRDefault="006026F0" w:rsidP="006026F0">
      <w:pPr>
        <w:ind w:firstLine="360"/>
        <w:jc w:val="both"/>
      </w:pPr>
      <w:r w:rsidRPr="002662BD">
        <w:t>The</w:t>
      </w:r>
      <w:r>
        <w:t xml:space="preserve"> intent of this outline is to provide legal and practical information about the employers’ obligations to provide reasonable accommodation and avoid e</w:t>
      </w:r>
      <w:r w:rsidRPr="00845B7F">
        <w:t xml:space="preserve">mployment </w:t>
      </w:r>
      <w:r>
        <w:t>d</w:t>
      </w:r>
      <w:r w:rsidRPr="00845B7F">
        <w:t>iscrimination</w:t>
      </w:r>
      <w:r>
        <w:t xml:space="preserve">. This paper will not address </w:t>
      </w:r>
      <w:r w:rsidRPr="00214401">
        <w:t xml:space="preserve">wage and hour issues, the FLSA, the FMLA, OSHA, unemployment compensation, and the new </w:t>
      </w:r>
      <w:r>
        <w:t xml:space="preserve">pandemic relief statutes. Finally, although the paper often refers to the “ADA” (Americans with Disabilities Act), most of the information described below applies equally to claims under the Rehabilitation Act of 1973, and may also apply to claims under state or local laws that track those federal counterparts.  </w:t>
      </w:r>
    </w:p>
    <w:p w14:paraId="2BF3457E" w14:textId="77777777" w:rsidR="00F42982" w:rsidRPr="002662BD" w:rsidRDefault="00F42982" w:rsidP="002662BD"/>
    <w:p w14:paraId="2EBDB8FC" w14:textId="77777777" w:rsidR="004758EB" w:rsidRPr="00D93672" w:rsidRDefault="004758EB" w:rsidP="00D93672">
      <w:pPr>
        <w:pStyle w:val="ListParagraph"/>
        <w:numPr>
          <w:ilvl w:val="0"/>
          <w:numId w:val="1"/>
        </w:numPr>
        <w:jc w:val="both"/>
        <w:rPr>
          <w:b/>
        </w:rPr>
      </w:pPr>
      <w:r>
        <w:rPr>
          <w:b/>
        </w:rPr>
        <w:t>Employer cov</w:t>
      </w:r>
      <w:r w:rsidRPr="00D93672">
        <w:rPr>
          <w:b/>
        </w:rPr>
        <w:t>erage</w:t>
      </w:r>
    </w:p>
    <w:p w14:paraId="3F6E5697" w14:textId="77777777" w:rsidR="004758EB" w:rsidRPr="00D93672" w:rsidRDefault="0099413F" w:rsidP="00D93672">
      <w:pPr>
        <w:pStyle w:val="ListParagraph"/>
        <w:numPr>
          <w:ilvl w:val="1"/>
          <w:numId w:val="1"/>
        </w:numPr>
        <w:jc w:val="both"/>
        <w:rPr>
          <w:b/>
        </w:rPr>
      </w:pPr>
      <w:r w:rsidRPr="00D93672">
        <w:rPr>
          <w:b/>
        </w:rPr>
        <w:t>ADA</w:t>
      </w:r>
      <w:r w:rsidRPr="00D93672">
        <w:t>—</w:t>
      </w:r>
      <w:r w:rsidR="004758EB" w:rsidRPr="00D93672">
        <w:t>applies to</w:t>
      </w:r>
      <w:r w:rsidR="00060B0D" w:rsidRPr="00D93672">
        <w:t>, among others,</w:t>
      </w:r>
      <w:r w:rsidR="004758EB" w:rsidRPr="00D93672">
        <w:rPr>
          <w:b/>
        </w:rPr>
        <w:t xml:space="preserve"> </w:t>
      </w:r>
    </w:p>
    <w:p w14:paraId="06FCBDCB" w14:textId="77777777" w:rsidR="004758EB" w:rsidRPr="00D93672" w:rsidRDefault="004758EB" w:rsidP="00D93672">
      <w:pPr>
        <w:pStyle w:val="ListParagraph"/>
        <w:numPr>
          <w:ilvl w:val="2"/>
          <w:numId w:val="1"/>
        </w:numPr>
        <w:jc w:val="both"/>
      </w:pPr>
      <w:r w:rsidRPr="00D93672">
        <w:t>Private employers with 15 or more employees</w:t>
      </w:r>
      <w:r w:rsidR="00616D7A">
        <w:t>. 42 U.S.C. § 12111(5)(A).</w:t>
      </w:r>
    </w:p>
    <w:p w14:paraId="2909CD8B" w14:textId="77777777" w:rsidR="004758EB" w:rsidRPr="00D93672" w:rsidRDefault="004758EB" w:rsidP="00616D7A">
      <w:pPr>
        <w:pStyle w:val="ListParagraph"/>
        <w:numPr>
          <w:ilvl w:val="2"/>
          <w:numId w:val="1"/>
        </w:numPr>
        <w:jc w:val="both"/>
      </w:pPr>
      <w:r w:rsidRPr="00D93672">
        <w:t>Non-federal governmental employees</w:t>
      </w:r>
      <w:r w:rsidR="00616D7A">
        <w:t xml:space="preserve">. </w:t>
      </w:r>
      <w:r w:rsidR="00616D7A" w:rsidRPr="00616D7A">
        <w:t>42 U.S.C. § 12111(5)(</w:t>
      </w:r>
      <w:r w:rsidR="00616D7A">
        <w:t>B</w:t>
      </w:r>
      <w:r w:rsidR="00616D7A" w:rsidRPr="00616D7A">
        <w:t>)</w:t>
      </w:r>
      <w:r w:rsidR="00616D7A">
        <w:t>(</w:t>
      </w:r>
      <w:proofErr w:type="spellStart"/>
      <w:r w:rsidR="00616D7A">
        <w:t>i</w:t>
      </w:r>
      <w:proofErr w:type="spellEnd"/>
      <w:r w:rsidR="00616D7A">
        <w:t>)</w:t>
      </w:r>
      <w:r w:rsidR="00616D7A" w:rsidRPr="00616D7A">
        <w:t>.</w:t>
      </w:r>
      <w:r w:rsidR="00616D7A">
        <w:rPr>
          <w:rStyle w:val="FootnoteReference"/>
        </w:rPr>
        <w:footnoteReference w:id="1"/>
      </w:r>
    </w:p>
    <w:p w14:paraId="781F1B32" w14:textId="77777777" w:rsidR="004758EB" w:rsidRPr="00D93672" w:rsidRDefault="004758EB" w:rsidP="0053079E">
      <w:pPr>
        <w:pStyle w:val="ListParagraph"/>
        <w:numPr>
          <w:ilvl w:val="2"/>
          <w:numId w:val="1"/>
        </w:numPr>
        <w:jc w:val="both"/>
      </w:pPr>
      <w:r w:rsidRPr="00D93672">
        <w:t xml:space="preserve">Unions </w:t>
      </w:r>
      <w:r w:rsidR="0053079E">
        <w:t>and e</w:t>
      </w:r>
      <w:r w:rsidR="0074214A" w:rsidRPr="00D93672">
        <w:t>mployment agencies</w:t>
      </w:r>
      <w:r w:rsidR="0053079E">
        <w:t xml:space="preserve">. </w:t>
      </w:r>
      <w:r w:rsidR="0053079E" w:rsidRPr="0053079E">
        <w:t>42 U.S.C. § 12111(</w:t>
      </w:r>
      <w:r w:rsidR="0053079E">
        <w:t>2).</w:t>
      </w:r>
    </w:p>
    <w:p w14:paraId="5C6334DD" w14:textId="77777777" w:rsidR="004758EB" w:rsidRPr="00D93672" w:rsidRDefault="004758EB" w:rsidP="005B099A">
      <w:pPr>
        <w:pStyle w:val="ListParagraph"/>
        <w:numPr>
          <w:ilvl w:val="1"/>
          <w:numId w:val="1"/>
        </w:numPr>
        <w:jc w:val="both"/>
        <w:rPr>
          <w:b/>
        </w:rPr>
      </w:pPr>
      <w:r w:rsidRPr="00D93672">
        <w:rPr>
          <w:b/>
        </w:rPr>
        <w:t>Sec. 501</w:t>
      </w:r>
      <w:r w:rsidR="004F28E0" w:rsidRPr="00D93672">
        <w:t>—</w:t>
      </w:r>
      <w:r w:rsidRPr="00D93672">
        <w:t>applies to most federal-sector employe</w:t>
      </w:r>
      <w:r w:rsidR="00210742">
        <w:t>r</w:t>
      </w:r>
      <w:r w:rsidRPr="00D93672">
        <w:t>s</w:t>
      </w:r>
      <w:r w:rsidR="007E05BF">
        <w:t>, and adopts ADA liability standards</w:t>
      </w:r>
      <w:r w:rsidR="0053079E">
        <w:t>. 29 U.S.C. § 791</w:t>
      </w:r>
      <w:r w:rsidR="005B099A">
        <w:t xml:space="preserve">; </w:t>
      </w:r>
      <w:r w:rsidR="005B099A" w:rsidRPr="005B099A">
        <w:t>29 C.F.R. § 1614.203</w:t>
      </w:r>
      <w:r w:rsidR="005B099A">
        <w:t>(b)</w:t>
      </w:r>
      <w:r w:rsidR="0053079E">
        <w:t>.</w:t>
      </w:r>
    </w:p>
    <w:p w14:paraId="64EFEB1C" w14:textId="77777777" w:rsidR="004758EB" w:rsidRPr="00217080" w:rsidRDefault="004758EB" w:rsidP="00217080">
      <w:pPr>
        <w:pStyle w:val="ListParagraph"/>
        <w:numPr>
          <w:ilvl w:val="1"/>
          <w:numId w:val="1"/>
        </w:numPr>
        <w:jc w:val="both"/>
      </w:pPr>
      <w:r w:rsidRPr="00D93672">
        <w:rPr>
          <w:b/>
        </w:rPr>
        <w:t>Sec. 503</w:t>
      </w:r>
      <w:r w:rsidR="004F28E0" w:rsidRPr="00D93672">
        <w:t>—</w:t>
      </w:r>
      <w:r w:rsidRPr="00D93672">
        <w:t>applies to entities with federal</w:t>
      </w:r>
      <w:r w:rsidR="00F959EF" w:rsidRPr="00D93672">
        <w:t xml:space="preserve"> </w:t>
      </w:r>
      <w:r w:rsidRPr="00D93672">
        <w:t xml:space="preserve">contracts </w:t>
      </w:r>
      <w:r w:rsidR="00F959EF" w:rsidRPr="00D93672">
        <w:t xml:space="preserve">or subcontracts </w:t>
      </w:r>
      <w:r w:rsidR="00944190">
        <w:t xml:space="preserve">for goods or services </w:t>
      </w:r>
      <w:r w:rsidRPr="00D93672">
        <w:t>worth more than $10,000</w:t>
      </w:r>
      <w:r w:rsidR="00944190">
        <w:t xml:space="preserve">. </w:t>
      </w:r>
      <w:r w:rsidR="0053079E" w:rsidRPr="0053079E">
        <w:t>29 U.S.C. § 79</w:t>
      </w:r>
      <w:r w:rsidR="0053079E">
        <w:t>3</w:t>
      </w:r>
      <w:r w:rsidR="00944190">
        <w:t>. T</w:t>
      </w:r>
      <w:r w:rsidR="00217080">
        <w:t xml:space="preserve">here are </w:t>
      </w:r>
      <w:r w:rsidR="00F959EF" w:rsidRPr="00D93672">
        <w:t xml:space="preserve">DOL </w:t>
      </w:r>
      <w:r w:rsidRPr="00D93672">
        <w:t>administrative remedies</w:t>
      </w:r>
      <w:r w:rsidR="00217080">
        <w:t>,</w:t>
      </w:r>
      <w:r w:rsidR="000A5E9B">
        <w:rPr>
          <w:rStyle w:val="FootnoteReference"/>
        </w:rPr>
        <w:footnoteReference w:id="2"/>
      </w:r>
      <w:r w:rsidR="00217080">
        <w:t xml:space="preserve"> but not </w:t>
      </w:r>
      <w:r w:rsidR="00944190">
        <w:t xml:space="preserve">a </w:t>
      </w:r>
      <w:r w:rsidR="00217080">
        <w:t>private right of action</w:t>
      </w:r>
      <w:r w:rsidR="0053079E" w:rsidRPr="0053079E">
        <w:t xml:space="preserve">. </w:t>
      </w:r>
      <w:r w:rsidR="00217080" w:rsidRPr="00217080">
        <w:rPr>
          <w:i/>
        </w:rPr>
        <w:t>Conner v. Nucor Corp</w:t>
      </w:r>
      <w:r w:rsidR="00217080">
        <w:t>., No. 2:14-CV-4145, 2015 WL 5785510, at *5 (D.S.C. Sept. 30, 2015) (collecting cases)</w:t>
      </w:r>
      <w:r w:rsidR="0053079E">
        <w:t>.</w:t>
      </w:r>
    </w:p>
    <w:p w14:paraId="631B6F6E" w14:textId="77777777" w:rsidR="004F28E0" w:rsidRPr="00D93672" w:rsidRDefault="0099413F" w:rsidP="00947247">
      <w:pPr>
        <w:pStyle w:val="ListParagraph"/>
        <w:numPr>
          <w:ilvl w:val="1"/>
          <w:numId w:val="1"/>
        </w:numPr>
        <w:jc w:val="both"/>
        <w:rPr>
          <w:b/>
        </w:rPr>
      </w:pPr>
      <w:r w:rsidRPr="00D93672">
        <w:rPr>
          <w:b/>
        </w:rPr>
        <w:t>Sec. 504</w:t>
      </w:r>
      <w:r w:rsidRPr="00D93672">
        <w:t>—</w:t>
      </w:r>
      <w:r w:rsidR="004758EB" w:rsidRPr="00D93672">
        <w:t xml:space="preserve">applies to public or private entities </w:t>
      </w:r>
      <w:r w:rsidR="00210742">
        <w:t xml:space="preserve">that </w:t>
      </w:r>
      <w:r w:rsidR="004758EB" w:rsidRPr="00D93672">
        <w:t>are recipients of federal financial assistance</w:t>
      </w:r>
      <w:r w:rsidR="00947247" w:rsidRPr="00947247">
        <w:t xml:space="preserve">, and </w:t>
      </w:r>
      <w:r w:rsidR="009A3806">
        <w:t xml:space="preserve">it </w:t>
      </w:r>
      <w:r w:rsidR="00947247" w:rsidRPr="00947247">
        <w:t>adopts ADA liability standards</w:t>
      </w:r>
      <w:r w:rsidR="00947247">
        <w:t>.</w:t>
      </w:r>
      <w:r w:rsidR="0053079E" w:rsidRPr="0053079E">
        <w:t xml:space="preserve"> 29 U.S.C. § 79</w:t>
      </w:r>
      <w:r w:rsidR="0053079E">
        <w:t>4</w:t>
      </w:r>
      <w:r w:rsidR="0053079E" w:rsidRPr="0053079E">
        <w:t>.</w:t>
      </w:r>
    </w:p>
    <w:p w14:paraId="2E8EBC22" w14:textId="77777777" w:rsidR="00277016" w:rsidRDefault="0099413F" w:rsidP="00D93672">
      <w:pPr>
        <w:pStyle w:val="ListParagraph"/>
        <w:numPr>
          <w:ilvl w:val="1"/>
          <w:numId w:val="1"/>
        </w:numPr>
        <w:jc w:val="both"/>
      </w:pPr>
      <w:r w:rsidRPr="00D93672">
        <w:rPr>
          <w:b/>
        </w:rPr>
        <w:t>State or local laws</w:t>
      </w:r>
      <w:r w:rsidRPr="00D93672">
        <w:t>—</w:t>
      </w:r>
      <w:r w:rsidR="004F28E0" w:rsidRPr="00D93672">
        <w:t>should be considered, but are beyond the scope of this paper</w:t>
      </w:r>
      <w:r w:rsidR="0053079E">
        <w:t>.</w:t>
      </w:r>
    </w:p>
    <w:p w14:paraId="34D430C8" w14:textId="77777777" w:rsidR="004758EB" w:rsidRPr="00D93672" w:rsidRDefault="00277016" w:rsidP="00E85B44">
      <w:pPr>
        <w:pStyle w:val="ListParagraph"/>
        <w:numPr>
          <w:ilvl w:val="1"/>
          <w:numId w:val="1"/>
        </w:numPr>
        <w:jc w:val="both"/>
      </w:pPr>
      <w:r w:rsidRPr="00277016">
        <w:rPr>
          <w:b/>
        </w:rPr>
        <w:t>Essential workers</w:t>
      </w:r>
      <w:r>
        <w:t xml:space="preserve">—Note that the above federal laws also </w:t>
      </w:r>
      <w:r w:rsidRPr="00277016">
        <w:t>apply to applicants or employees who are classified as “critical</w:t>
      </w:r>
      <w:r>
        <w:t xml:space="preserve">” or “essential” </w:t>
      </w:r>
      <w:r w:rsidRPr="00277016">
        <w:t>workers</w:t>
      </w:r>
      <w:r>
        <w:t>.</w:t>
      </w:r>
      <w:r w:rsidRPr="00277016">
        <w:t xml:space="preserve"> </w:t>
      </w:r>
      <w:r w:rsidRPr="00277016">
        <w:rPr>
          <w:i/>
        </w:rPr>
        <w:t xml:space="preserve">What You Should </w:t>
      </w:r>
      <w:r w:rsidRPr="00277016">
        <w:rPr>
          <w:i/>
        </w:rPr>
        <w:lastRenderedPageBreak/>
        <w:t>Know About COVID-19 and the ADA, the Rehabilitation Act, and Other EEO Laws</w:t>
      </w:r>
      <w:r w:rsidRPr="00277016">
        <w:t xml:space="preserve">, Question </w:t>
      </w:r>
      <w:r>
        <w:t>D.12</w:t>
      </w:r>
      <w:r w:rsidRPr="00277016">
        <w:t xml:space="preserve"> (EEOC May 7, 2020) (hereafter “What You Should Know”).</w:t>
      </w:r>
      <w:r w:rsidRPr="00277016">
        <w:rPr>
          <w:vertAlign w:val="superscript"/>
        </w:rPr>
        <w:footnoteReference w:id="3"/>
      </w:r>
    </w:p>
    <w:p w14:paraId="4B60269F" w14:textId="77777777" w:rsidR="00A559F9" w:rsidRPr="00D93672" w:rsidRDefault="00A559F9" w:rsidP="00D93672">
      <w:pPr>
        <w:pStyle w:val="ListParagraph"/>
        <w:jc w:val="both"/>
        <w:rPr>
          <w:b/>
        </w:rPr>
      </w:pPr>
    </w:p>
    <w:p w14:paraId="42B683EB" w14:textId="77777777" w:rsidR="0074643A" w:rsidRPr="00D93672" w:rsidRDefault="0074643A" w:rsidP="00F823CC">
      <w:pPr>
        <w:pStyle w:val="ListParagraph"/>
        <w:keepNext/>
        <w:numPr>
          <w:ilvl w:val="0"/>
          <w:numId w:val="1"/>
        </w:numPr>
        <w:jc w:val="both"/>
        <w:rPr>
          <w:b/>
        </w:rPr>
      </w:pPr>
      <w:r w:rsidRPr="00D93672">
        <w:rPr>
          <w:b/>
        </w:rPr>
        <w:t xml:space="preserve">Is COVID-19 </w:t>
      </w:r>
      <w:r w:rsidR="007912D5">
        <w:rPr>
          <w:b/>
        </w:rPr>
        <w:t xml:space="preserve">itself </w:t>
      </w:r>
      <w:r w:rsidRPr="00D93672">
        <w:rPr>
          <w:b/>
        </w:rPr>
        <w:t>a disability?</w:t>
      </w:r>
    </w:p>
    <w:p w14:paraId="6EEFA642" w14:textId="77777777" w:rsidR="00852C06" w:rsidRPr="00D93672" w:rsidRDefault="00852C06" w:rsidP="00F823CC">
      <w:pPr>
        <w:pStyle w:val="ListParagraph"/>
        <w:keepNext/>
        <w:numPr>
          <w:ilvl w:val="1"/>
          <w:numId w:val="1"/>
        </w:numPr>
        <w:jc w:val="both"/>
        <w:rPr>
          <w:b/>
        </w:rPr>
      </w:pPr>
      <w:r w:rsidRPr="00D93672">
        <w:rPr>
          <w:b/>
        </w:rPr>
        <w:t>“</w:t>
      </w:r>
      <w:r w:rsidR="001F6A70" w:rsidRPr="00D93672">
        <w:rPr>
          <w:b/>
        </w:rPr>
        <w:t>Actual</w:t>
      </w:r>
      <w:r w:rsidRPr="00D93672">
        <w:rPr>
          <w:b/>
        </w:rPr>
        <w:t>”</w:t>
      </w:r>
      <w:r w:rsidR="001F6A70" w:rsidRPr="00D93672">
        <w:rPr>
          <w:b/>
        </w:rPr>
        <w:t xml:space="preserve"> disability</w:t>
      </w:r>
      <w:r w:rsidRPr="00D93672">
        <w:t xml:space="preserve">—COVID-19 may be an actual disability under the ADA Amendments Act if—in </w:t>
      </w:r>
      <w:r w:rsidR="008641B6" w:rsidRPr="00D93672">
        <w:t xml:space="preserve">its active state and in </w:t>
      </w:r>
      <w:r w:rsidRPr="00D93672">
        <w:t>the absence of mitigating measures and treatment—it substantially limits a major life activity or bodily function (e</w:t>
      </w:r>
      <w:r w:rsidR="00F05850">
        <w:t>.</w:t>
      </w:r>
      <w:r w:rsidRPr="00D93672">
        <w:t>g</w:t>
      </w:r>
      <w:r w:rsidR="00F05850">
        <w:t xml:space="preserve">., </w:t>
      </w:r>
      <w:r w:rsidRPr="00D93672">
        <w:t>respiratory</w:t>
      </w:r>
      <w:r w:rsidR="00F05850">
        <w:t>, circulatory, or immune</w:t>
      </w:r>
      <w:r w:rsidRPr="00D93672">
        <w:t xml:space="preserve"> function)</w:t>
      </w:r>
      <w:r w:rsidR="001470A3">
        <w:t xml:space="preserve">; </w:t>
      </w:r>
      <w:r w:rsidRPr="00D93672">
        <w:t>the fact that it is temporary is not dispositive</w:t>
      </w:r>
      <w:r w:rsidR="00F05850">
        <w:t>. 42 U.S.C. § 12102; 29 C.F.R. § 1630.2(g)–(j).</w:t>
      </w:r>
    </w:p>
    <w:p w14:paraId="7ACA34A6" w14:textId="77777777" w:rsidR="001F6A70" w:rsidRPr="00D93672" w:rsidRDefault="00852C06" w:rsidP="00D93672">
      <w:pPr>
        <w:pStyle w:val="ListParagraph"/>
        <w:numPr>
          <w:ilvl w:val="1"/>
          <w:numId w:val="1"/>
        </w:numPr>
        <w:jc w:val="both"/>
        <w:rPr>
          <w:b/>
        </w:rPr>
      </w:pPr>
      <w:r w:rsidRPr="00D93672">
        <w:rPr>
          <w:b/>
        </w:rPr>
        <w:t>“Regarded as” disability</w:t>
      </w:r>
      <w:r w:rsidRPr="00D93672">
        <w:t>—</w:t>
      </w:r>
      <w:r w:rsidR="003069F7" w:rsidRPr="00D93672">
        <w:t xml:space="preserve">if an employer believes—correctly or incorrectly—that an employee has COVID-19 and takes </w:t>
      </w:r>
      <w:r w:rsidR="005D63A0" w:rsidRPr="00D93672">
        <w:t xml:space="preserve">adverse </w:t>
      </w:r>
      <w:r w:rsidR="003069F7" w:rsidRPr="00D93672">
        <w:t>action against the worker</w:t>
      </w:r>
      <w:r w:rsidR="00F05850">
        <w:t xml:space="preserve"> because of that</w:t>
      </w:r>
      <w:r w:rsidR="005D63A0" w:rsidRPr="00D93672">
        <w:t xml:space="preserve">, there </w:t>
      </w:r>
      <w:r w:rsidR="00F05850">
        <w:t xml:space="preserve">likely </w:t>
      </w:r>
      <w:r w:rsidR="005D63A0" w:rsidRPr="00D93672">
        <w:t>is a “regarded as” claim</w:t>
      </w:r>
      <w:r w:rsidR="00F05850">
        <w:t>,</w:t>
      </w:r>
      <w:r w:rsidR="005D63A0" w:rsidRPr="00D93672">
        <w:t xml:space="preserve"> unless the employer can show that the condition was both transitory (</w:t>
      </w:r>
      <w:r w:rsidR="004E4110">
        <w:t>more likely</w:t>
      </w:r>
      <w:r w:rsidR="005D63A0" w:rsidRPr="00D93672">
        <w:t xml:space="preserve">) </w:t>
      </w:r>
      <w:r w:rsidR="005D63A0" w:rsidRPr="004E4110">
        <w:rPr>
          <w:i/>
        </w:rPr>
        <w:t>and</w:t>
      </w:r>
      <w:r w:rsidR="005D63A0" w:rsidRPr="00D93672">
        <w:t xml:space="preserve"> minor (</w:t>
      </w:r>
      <w:r w:rsidR="00870CCC">
        <w:t>much less l</w:t>
      </w:r>
      <w:r w:rsidR="005D63A0" w:rsidRPr="00D93672">
        <w:t>ikely)</w:t>
      </w:r>
      <w:r w:rsidR="00F05850">
        <w:t>.</w:t>
      </w:r>
      <w:r w:rsidRPr="00D93672">
        <w:t xml:space="preserve"> </w:t>
      </w:r>
      <w:r w:rsidR="00870CCC">
        <w:t>42 U.S.C. § 12102(3); 29 C.F.R. § 1630.2(</w:t>
      </w:r>
      <w:r w:rsidR="00870CCC" w:rsidRPr="00870CCC">
        <w:rPr>
          <w:i/>
        </w:rPr>
        <w:t>l</w:t>
      </w:r>
      <w:r w:rsidR="00870CCC">
        <w:t>).</w:t>
      </w:r>
    </w:p>
    <w:p w14:paraId="3A52BC1E" w14:textId="77777777" w:rsidR="005D63A0" w:rsidRPr="00D93672" w:rsidRDefault="005D63A0" w:rsidP="00ED0437">
      <w:pPr>
        <w:pStyle w:val="ListParagraph"/>
        <w:numPr>
          <w:ilvl w:val="1"/>
          <w:numId w:val="1"/>
        </w:numPr>
        <w:jc w:val="both"/>
        <w:rPr>
          <w:b/>
        </w:rPr>
      </w:pPr>
      <w:r w:rsidRPr="00D93672">
        <w:rPr>
          <w:b/>
        </w:rPr>
        <w:t>Future fear</w:t>
      </w:r>
      <w:r w:rsidRPr="00D93672">
        <w:t xml:space="preserve">—If the employer takes adverse action because it fears that </w:t>
      </w:r>
      <w:r w:rsidR="007F6BDF">
        <w:t>a</w:t>
      </w:r>
      <w:r w:rsidRPr="00D93672">
        <w:t xml:space="preserve"> worker</w:t>
      </w:r>
      <w:r w:rsidR="007F6BDF">
        <w:t xml:space="preserve"> without COVID-19</w:t>
      </w:r>
      <w:r w:rsidRPr="00D93672">
        <w:t xml:space="preserve"> may get it in the future, </w:t>
      </w:r>
      <w:r w:rsidR="00426B9E">
        <w:t xml:space="preserve">such conduct </w:t>
      </w:r>
      <w:r w:rsidR="004C195F">
        <w:t xml:space="preserve">may not violate the </w:t>
      </w:r>
      <w:r w:rsidRPr="00D93672">
        <w:t>ADA</w:t>
      </w:r>
      <w:r w:rsidR="00426B9E">
        <w:t xml:space="preserve">. </w:t>
      </w:r>
      <w:r w:rsidR="00426B9E" w:rsidRPr="00ED0437">
        <w:rPr>
          <w:i/>
        </w:rPr>
        <w:t xml:space="preserve">See, e.g., </w:t>
      </w:r>
      <w:r w:rsidR="00B42F55" w:rsidRPr="00ED0437">
        <w:rPr>
          <w:i/>
        </w:rPr>
        <w:t>Equal Employment Op</w:t>
      </w:r>
      <w:r w:rsidR="00ED0437" w:rsidRPr="00ED0437">
        <w:rPr>
          <w:i/>
        </w:rPr>
        <w:t>portunity Comm’n v. STME, LLC</w:t>
      </w:r>
      <w:r w:rsidR="00ED0437">
        <w:t xml:space="preserve">, </w:t>
      </w:r>
      <w:r w:rsidR="00ED0437" w:rsidRPr="00ED0437">
        <w:t>938 F.3d 1305</w:t>
      </w:r>
      <w:r w:rsidR="00B42F55" w:rsidRPr="00B42F55">
        <w:t xml:space="preserve"> (11th Cir.</w:t>
      </w:r>
      <w:r w:rsidR="00ED0437">
        <w:t xml:space="preserve"> </w:t>
      </w:r>
      <w:r w:rsidR="00B42F55" w:rsidRPr="00B42F55">
        <w:t>2019)</w:t>
      </w:r>
      <w:r w:rsidR="00ED0437">
        <w:t xml:space="preserve"> (employer’s fear of future exposure to Ebola </w:t>
      </w:r>
      <w:r w:rsidR="00D4310C">
        <w:t>did</w:t>
      </w:r>
      <w:r w:rsidR="00ED0437">
        <w:t xml:space="preserve"> not support ADA claim)</w:t>
      </w:r>
      <w:r w:rsidR="00426B9E">
        <w:t>.</w:t>
      </w:r>
      <w:r w:rsidR="007F6BDF">
        <w:t xml:space="preserve"> On the other hand, it cannot treat individuals with disabilities differently.</w:t>
      </w:r>
      <w:r w:rsidRPr="00D93672">
        <w:rPr>
          <w:b/>
        </w:rPr>
        <w:t xml:space="preserve"> </w:t>
      </w:r>
    </w:p>
    <w:p w14:paraId="13078F76" w14:textId="77777777" w:rsidR="00A559F9" w:rsidRPr="00D93672" w:rsidRDefault="00A559F9" w:rsidP="00D93672">
      <w:pPr>
        <w:pStyle w:val="ListParagraph"/>
        <w:jc w:val="both"/>
        <w:rPr>
          <w:b/>
        </w:rPr>
      </w:pPr>
    </w:p>
    <w:p w14:paraId="24175D10" w14:textId="77777777" w:rsidR="00F42982" w:rsidRPr="00D93672" w:rsidRDefault="00F42982" w:rsidP="00D93672">
      <w:pPr>
        <w:pStyle w:val="ListParagraph"/>
        <w:numPr>
          <w:ilvl w:val="0"/>
          <w:numId w:val="1"/>
        </w:numPr>
        <w:jc w:val="both"/>
        <w:rPr>
          <w:b/>
        </w:rPr>
      </w:pPr>
      <w:r w:rsidRPr="00D93672">
        <w:rPr>
          <w:b/>
        </w:rPr>
        <w:t>Questions presented by employer actions</w:t>
      </w:r>
    </w:p>
    <w:p w14:paraId="2F59F552" w14:textId="77777777" w:rsidR="007D5570" w:rsidRPr="00D93672" w:rsidRDefault="001738B0" w:rsidP="00D93672">
      <w:pPr>
        <w:pStyle w:val="ListParagraph"/>
        <w:numPr>
          <w:ilvl w:val="1"/>
          <w:numId w:val="1"/>
        </w:numPr>
        <w:jc w:val="both"/>
        <w:rPr>
          <w:b/>
          <w:i/>
        </w:rPr>
      </w:pPr>
      <w:r w:rsidRPr="00D93672">
        <w:rPr>
          <w:b/>
        </w:rPr>
        <w:t>Closing down</w:t>
      </w:r>
      <w:r w:rsidR="007D5570" w:rsidRPr="00D93672">
        <w:rPr>
          <w:b/>
        </w:rPr>
        <w:t xml:space="preserve"> </w:t>
      </w:r>
    </w:p>
    <w:p w14:paraId="292521B5" w14:textId="77777777" w:rsidR="00F42982" w:rsidRPr="00D93672" w:rsidRDefault="000B01CB" w:rsidP="00D93672">
      <w:pPr>
        <w:pStyle w:val="ListParagraph"/>
        <w:numPr>
          <w:ilvl w:val="2"/>
          <w:numId w:val="1"/>
        </w:numPr>
        <w:jc w:val="both"/>
        <w:rPr>
          <w:b/>
          <w:i/>
        </w:rPr>
      </w:pPr>
      <w:r w:rsidRPr="00D93672">
        <w:t>I</w:t>
      </w:r>
      <w:r w:rsidR="007D5570" w:rsidRPr="00D93672">
        <w:t xml:space="preserve">f an employer’s decision to close affects all employees equally, this </w:t>
      </w:r>
      <w:r w:rsidRPr="00D93672">
        <w:t>would</w:t>
      </w:r>
      <w:r w:rsidR="007D5570" w:rsidRPr="00D93672">
        <w:t xml:space="preserve"> not appear to state an ADA claim</w:t>
      </w:r>
      <w:r w:rsidR="007E05BF">
        <w:t>.</w:t>
      </w:r>
    </w:p>
    <w:p w14:paraId="108AEB35" w14:textId="77777777" w:rsidR="000B01CB" w:rsidRPr="00D93672" w:rsidRDefault="000B01CB" w:rsidP="00D93672">
      <w:pPr>
        <w:pStyle w:val="ListParagraph"/>
        <w:numPr>
          <w:ilvl w:val="2"/>
          <w:numId w:val="1"/>
        </w:numPr>
        <w:jc w:val="both"/>
        <w:rPr>
          <w:b/>
          <w:i/>
        </w:rPr>
      </w:pPr>
      <w:r w:rsidRPr="00D93672">
        <w:t xml:space="preserve">But consider whether there is discrimination in </w:t>
      </w:r>
      <w:r w:rsidR="006F7501">
        <w:t xml:space="preserve">the handling of </w:t>
      </w:r>
      <w:r w:rsidRPr="00D93672">
        <w:t xml:space="preserve">any RIFs, transfers, or </w:t>
      </w:r>
      <w:r w:rsidR="009F753A" w:rsidRPr="00D93672">
        <w:t xml:space="preserve">employer </w:t>
      </w:r>
      <w:r w:rsidRPr="00D93672">
        <w:t xml:space="preserve">assistance </w:t>
      </w:r>
      <w:r w:rsidR="009F753A" w:rsidRPr="00D93672">
        <w:t xml:space="preserve">with </w:t>
      </w:r>
      <w:r w:rsidRPr="00D93672">
        <w:t xml:space="preserve">getting </w:t>
      </w:r>
      <w:r w:rsidR="009F753A" w:rsidRPr="00D93672">
        <w:t xml:space="preserve">alternate </w:t>
      </w:r>
      <w:r w:rsidRPr="00D93672">
        <w:t>employ</w:t>
      </w:r>
      <w:r w:rsidR="009F753A" w:rsidRPr="00D93672">
        <w:t>ment</w:t>
      </w:r>
      <w:r w:rsidR="007E05BF">
        <w:t>.</w:t>
      </w:r>
      <w:r w:rsidRPr="00D93672">
        <w:t xml:space="preserve">  </w:t>
      </w:r>
    </w:p>
    <w:p w14:paraId="3C6E0A8C" w14:textId="77777777" w:rsidR="000B01CB" w:rsidRPr="00D93672" w:rsidRDefault="001738B0" w:rsidP="00D93672">
      <w:pPr>
        <w:pStyle w:val="ListParagraph"/>
        <w:numPr>
          <w:ilvl w:val="1"/>
          <w:numId w:val="1"/>
        </w:numPr>
        <w:jc w:val="both"/>
        <w:rPr>
          <w:b/>
        </w:rPr>
      </w:pPr>
      <w:r w:rsidRPr="00D93672">
        <w:rPr>
          <w:b/>
        </w:rPr>
        <w:t>Moving business online</w:t>
      </w:r>
    </w:p>
    <w:p w14:paraId="649782D6" w14:textId="77777777" w:rsidR="001738B0" w:rsidRPr="00D15C2F" w:rsidRDefault="00815815" w:rsidP="00251306">
      <w:pPr>
        <w:pStyle w:val="ListParagraph"/>
        <w:numPr>
          <w:ilvl w:val="2"/>
          <w:numId w:val="1"/>
        </w:numPr>
        <w:jc w:val="both"/>
        <w:rPr>
          <w:b/>
        </w:rPr>
      </w:pPr>
      <w:r w:rsidRPr="00D93672">
        <w:t>E</w:t>
      </w:r>
      <w:r w:rsidR="000B01CB" w:rsidRPr="00D93672">
        <w:t>mployer’s decision to change to online operations is not an ADA violation</w:t>
      </w:r>
      <w:r w:rsidRPr="00D93672">
        <w:t xml:space="preserve">, </w:t>
      </w:r>
      <w:r w:rsidR="007F4B74" w:rsidRPr="00D93672">
        <w:t>and telework is an effective infection-control strategy that is also familiar to ADA-covered employers as a reasonable accommodation</w:t>
      </w:r>
      <w:r w:rsidR="00D15C2F">
        <w:t xml:space="preserve">. </w:t>
      </w:r>
      <w:r w:rsidR="00D15C2F" w:rsidRPr="00D15C2F">
        <w:rPr>
          <w:i/>
        </w:rPr>
        <w:t>Compare</w:t>
      </w:r>
      <w:r w:rsidR="00D15C2F">
        <w:t xml:space="preserve"> </w:t>
      </w:r>
      <w:r w:rsidR="00D15C2F" w:rsidRPr="00D15C2F">
        <w:rPr>
          <w:i/>
        </w:rPr>
        <w:t>Pandemic Preparedness in the Workplace and the Americans with Disabilities Act</w:t>
      </w:r>
      <w:r w:rsidR="00D15C2F" w:rsidRPr="00AD6031">
        <w:t xml:space="preserve">, </w:t>
      </w:r>
      <w:r w:rsidR="00D15C2F">
        <w:t>Question 10</w:t>
      </w:r>
      <w:r w:rsidR="00D15C2F" w:rsidRPr="00AD6031">
        <w:t xml:space="preserve"> (EEOC Mar. 21, 2020)</w:t>
      </w:r>
      <w:r w:rsidR="00D15C2F">
        <w:t xml:space="preserve"> (hereafter “EEOC’s Pandemic Preparedness”).</w:t>
      </w:r>
      <w:r w:rsidR="00D15C2F">
        <w:rPr>
          <w:rStyle w:val="FootnoteReference"/>
        </w:rPr>
        <w:footnoteReference w:id="4"/>
      </w:r>
    </w:p>
    <w:p w14:paraId="23832DC0" w14:textId="77777777" w:rsidR="00815815" w:rsidRPr="004F0C51" w:rsidRDefault="00661D56" w:rsidP="00D93672">
      <w:pPr>
        <w:pStyle w:val="ListParagraph"/>
        <w:numPr>
          <w:ilvl w:val="2"/>
          <w:numId w:val="1"/>
        </w:numPr>
        <w:jc w:val="both"/>
        <w:rPr>
          <w:b/>
        </w:rPr>
      </w:pPr>
      <w:r>
        <w:t>But e</w:t>
      </w:r>
      <w:r w:rsidR="00815815" w:rsidRPr="00D93672">
        <w:t>mployer must consider accommodations to ensure that people with disabilities can access online technologies and systems</w:t>
      </w:r>
      <w:r w:rsidR="00345D81" w:rsidRPr="00D93672">
        <w:t xml:space="preserve">. See </w:t>
      </w:r>
      <w:r w:rsidR="000F666A" w:rsidRPr="00D93672">
        <w:t>4(d)(</w:t>
      </w:r>
      <w:proofErr w:type="spellStart"/>
      <w:r w:rsidR="000F666A" w:rsidRPr="00D93672">
        <w:t>i</w:t>
      </w:r>
      <w:proofErr w:type="spellEnd"/>
      <w:r w:rsidR="000F666A" w:rsidRPr="00D93672">
        <w:t>)</w:t>
      </w:r>
      <w:r w:rsidR="00345D81" w:rsidRPr="00D93672">
        <w:t xml:space="preserve"> below.</w:t>
      </w:r>
    </w:p>
    <w:p w14:paraId="7A7EE8B3" w14:textId="77777777" w:rsidR="001738B0" w:rsidRPr="00D93672" w:rsidRDefault="001738B0" w:rsidP="00D93672">
      <w:pPr>
        <w:pStyle w:val="ListParagraph"/>
        <w:numPr>
          <w:ilvl w:val="1"/>
          <w:numId w:val="1"/>
        </w:numPr>
        <w:jc w:val="both"/>
        <w:rPr>
          <w:b/>
        </w:rPr>
      </w:pPr>
      <w:r w:rsidRPr="00D93672">
        <w:rPr>
          <w:b/>
        </w:rPr>
        <w:t xml:space="preserve">Mandatory </w:t>
      </w:r>
      <w:r w:rsidR="00915FF5" w:rsidRPr="00D93672">
        <w:rPr>
          <w:b/>
        </w:rPr>
        <w:t xml:space="preserve">questioning, </w:t>
      </w:r>
      <w:r w:rsidRPr="00D93672">
        <w:rPr>
          <w:b/>
        </w:rPr>
        <w:t>screening</w:t>
      </w:r>
      <w:r w:rsidR="00915FF5" w:rsidRPr="00D93672">
        <w:rPr>
          <w:b/>
        </w:rPr>
        <w:t>,</w:t>
      </w:r>
      <w:r w:rsidR="00D1155A" w:rsidRPr="00D93672">
        <w:rPr>
          <w:b/>
        </w:rPr>
        <w:t xml:space="preserve"> or testing</w:t>
      </w:r>
    </w:p>
    <w:p w14:paraId="71B225F1" w14:textId="77777777" w:rsidR="00915FF5" w:rsidRPr="00D93672" w:rsidRDefault="00915FF5" w:rsidP="00D93672">
      <w:pPr>
        <w:pStyle w:val="ListParagraph"/>
        <w:numPr>
          <w:ilvl w:val="2"/>
          <w:numId w:val="1"/>
        </w:numPr>
        <w:jc w:val="both"/>
      </w:pPr>
      <w:r w:rsidRPr="00D93672">
        <w:t>Employer can:</w:t>
      </w:r>
    </w:p>
    <w:p w14:paraId="5A6685C3" w14:textId="77777777" w:rsidR="00345D81" w:rsidRPr="00D93672" w:rsidRDefault="00345D81" w:rsidP="009D39CB">
      <w:pPr>
        <w:pStyle w:val="ListParagraph"/>
        <w:numPr>
          <w:ilvl w:val="3"/>
          <w:numId w:val="1"/>
        </w:numPr>
        <w:jc w:val="both"/>
      </w:pPr>
      <w:r w:rsidRPr="00D93672">
        <w:t>Ask employees returning from travel about their exposure</w:t>
      </w:r>
      <w:r w:rsidR="009D39CB">
        <w:t xml:space="preserve">. </w:t>
      </w:r>
      <w:r w:rsidR="009D39CB" w:rsidRPr="009D39CB">
        <w:rPr>
          <w:i/>
        </w:rPr>
        <w:t>EEOC’s Pandemic Preparedness</w:t>
      </w:r>
      <w:r w:rsidR="009D39CB">
        <w:t xml:space="preserve">, </w:t>
      </w:r>
      <w:r w:rsidR="009D39CB" w:rsidRPr="009D39CB">
        <w:rPr>
          <w:i/>
        </w:rPr>
        <w:t>supra</w:t>
      </w:r>
      <w:r w:rsidR="009D39CB">
        <w:t>, Question 8.</w:t>
      </w:r>
    </w:p>
    <w:p w14:paraId="2A266361" w14:textId="77777777" w:rsidR="00842712" w:rsidRPr="00D93672" w:rsidRDefault="00842712" w:rsidP="00D93672">
      <w:pPr>
        <w:pStyle w:val="ListParagraph"/>
        <w:numPr>
          <w:ilvl w:val="3"/>
          <w:numId w:val="1"/>
        </w:numPr>
        <w:jc w:val="both"/>
      </w:pPr>
      <w:r w:rsidRPr="00D93672">
        <w:t>Ask an employee why he or she has been absent from work</w:t>
      </w:r>
      <w:r w:rsidR="009D39CB">
        <w:t xml:space="preserve">. </w:t>
      </w:r>
      <w:r w:rsidR="009D39CB" w:rsidRPr="009D39CB">
        <w:rPr>
          <w:i/>
        </w:rPr>
        <w:t>Id</w:t>
      </w:r>
      <w:r w:rsidR="009D39CB">
        <w:t>., Question 15 and Ex</w:t>
      </w:r>
      <w:r w:rsidR="002D6090">
        <w:t>ample</w:t>
      </w:r>
      <w:r w:rsidR="009D39CB">
        <w:t>. E.</w:t>
      </w:r>
    </w:p>
    <w:p w14:paraId="1DBF5C67" w14:textId="77777777" w:rsidR="00842712" w:rsidRPr="00D93672" w:rsidRDefault="00842712" w:rsidP="00D93672">
      <w:pPr>
        <w:pStyle w:val="ListParagraph"/>
        <w:numPr>
          <w:ilvl w:val="3"/>
          <w:numId w:val="1"/>
        </w:numPr>
        <w:jc w:val="both"/>
      </w:pPr>
      <w:r w:rsidRPr="00D93672">
        <w:t>R</w:t>
      </w:r>
      <w:r w:rsidR="00345D81" w:rsidRPr="00D93672">
        <w:t>equire employees to adopt infection-control practices</w:t>
      </w:r>
      <w:r w:rsidRPr="00D93672">
        <w:t xml:space="preserve"> (e.g., </w:t>
      </w:r>
      <w:r w:rsidR="00345D81" w:rsidRPr="00D93672">
        <w:t>regular hand washing</w:t>
      </w:r>
      <w:r w:rsidRPr="00D93672">
        <w:t>)</w:t>
      </w:r>
      <w:r w:rsidR="009D39CB">
        <w:t xml:space="preserve">. </w:t>
      </w:r>
      <w:r w:rsidR="009D39CB" w:rsidRPr="009D39CB">
        <w:rPr>
          <w:i/>
        </w:rPr>
        <w:t>Id</w:t>
      </w:r>
      <w:r w:rsidR="009D39CB">
        <w:t>., Question 11.</w:t>
      </w:r>
    </w:p>
    <w:p w14:paraId="51489EED" w14:textId="77777777" w:rsidR="00345D81" w:rsidRPr="00D93672" w:rsidRDefault="00842712" w:rsidP="00D93672">
      <w:pPr>
        <w:pStyle w:val="ListParagraph"/>
        <w:numPr>
          <w:ilvl w:val="3"/>
          <w:numId w:val="1"/>
        </w:numPr>
        <w:jc w:val="both"/>
      </w:pPr>
      <w:r w:rsidRPr="00D93672">
        <w:lastRenderedPageBreak/>
        <w:t xml:space="preserve">Require </w:t>
      </w:r>
      <w:r w:rsidR="00345D81" w:rsidRPr="00D93672">
        <w:t>employees to wear personal p</w:t>
      </w:r>
      <w:r w:rsidRPr="00D93672">
        <w:t xml:space="preserve">rotective equipment (e.g., </w:t>
      </w:r>
      <w:r w:rsidR="00345D81" w:rsidRPr="00D93672">
        <w:t>masks, gloves, or gowns)</w:t>
      </w:r>
      <w:r w:rsidRPr="00D93672">
        <w:t xml:space="preserve">, but it should provide related </w:t>
      </w:r>
      <w:r w:rsidR="00345D81" w:rsidRPr="00D93672">
        <w:t xml:space="preserve">reasonable accommodation </w:t>
      </w:r>
      <w:r w:rsidRPr="00D93672">
        <w:t>(</w:t>
      </w:r>
      <w:r w:rsidR="00345D81" w:rsidRPr="00D93672">
        <w:t>e.g., non-latex gloves, gowns designed for individuals who use wheelchairs)</w:t>
      </w:r>
      <w:r w:rsidR="0069345C">
        <w:t xml:space="preserve">. </w:t>
      </w:r>
      <w:r w:rsidR="0069345C" w:rsidRPr="0069345C">
        <w:rPr>
          <w:i/>
        </w:rPr>
        <w:t>Id</w:t>
      </w:r>
      <w:r w:rsidR="0069345C">
        <w:t>., Question 12</w:t>
      </w:r>
      <w:r w:rsidR="001F0035">
        <w:t xml:space="preserve">; </w:t>
      </w:r>
      <w:r w:rsidR="001F0035" w:rsidRPr="001F0035">
        <w:rPr>
          <w:i/>
        </w:rPr>
        <w:t>What You Should Know</w:t>
      </w:r>
      <w:r w:rsidR="001F0035">
        <w:t xml:space="preserve">, </w:t>
      </w:r>
      <w:r w:rsidR="001F0035" w:rsidRPr="001F0035">
        <w:rPr>
          <w:i/>
        </w:rPr>
        <w:t>supra</w:t>
      </w:r>
      <w:r w:rsidR="001F0035">
        <w:t>, Question G.2</w:t>
      </w:r>
      <w:r w:rsidR="0069345C">
        <w:t>.</w:t>
      </w:r>
    </w:p>
    <w:p w14:paraId="6A05DD2F" w14:textId="77777777" w:rsidR="00842712" w:rsidRPr="00D93672" w:rsidRDefault="002B18BC" w:rsidP="00D93672">
      <w:pPr>
        <w:pStyle w:val="ListParagraph"/>
        <w:numPr>
          <w:ilvl w:val="3"/>
          <w:numId w:val="1"/>
        </w:numPr>
        <w:jc w:val="both"/>
      </w:pPr>
      <w:r w:rsidRPr="00D93672">
        <w:t>E</w:t>
      </w:r>
      <w:r w:rsidR="00842712" w:rsidRPr="00D93672">
        <w:t xml:space="preserve">ncourage employees to get </w:t>
      </w:r>
      <w:r w:rsidRPr="00D93672">
        <w:t>a vaccine if one becomes available</w:t>
      </w:r>
      <w:r w:rsidR="00A92D08">
        <w:t>.</w:t>
      </w:r>
      <w:r w:rsidR="001F0035" w:rsidRPr="001F0035">
        <w:rPr>
          <w:i/>
        </w:rPr>
        <w:t xml:space="preserve"> </w:t>
      </w:r>
      <w:r w:rsidR="001F0035" w:rsidRPr="009D39CB">
        <w:rPr>
          <w:i/>
        </w:rPr>
        <w:t>EEOC’s Pandemic Preparedness</w:t>
      </w:r>
      <w:r w:rsidR="001F0035">
        <w:t xml:space="preserve">, </w:t>
      </w:r>
      <w:r w:rsidR="001F0035" w:rsidRPr="009D39CB">
        <w:rPr>
          <w:i/>
        </w:rPr>
        <w:t>supra</w:t>
      </w:r>
      <w:r w:rsidR="001F0035">
        <w:t xml:space="preserve">, </w:t>
      </w:r>
      <w:r w:rsidR="00A92D08">
        <w:t>Question 13. [B</w:t>
      </w:r>
      <w:r w:rsidRPr="00D93672">
        <w:t xml:space="preserve">ut employers may not be able to </w:t>
      </w:r>
      <w:r w:rsidRPr="001F0035">
        <w:rPr>
          <w:i/>
        </w:rPr>
        <w:t>compel</w:t>
      </w:r>
      <w:r w:rsidRPr="00D93672">
        <w:t xml:space="preserve"> </w:t>
      </w:r>
      <w:r w:rsidR="00A92D08">
        <w:t>getting a vaccine</w:t>
      </w:r>
      <w:r w:rsidRPr="00D93672">
        <w:t xml:space="preserve">. See </w:t>
      </w:r>
      <w:r w:rsidR="00C35A25">
        <w:t xml:space="preserve">Part </w:t>
      </w:r>
      <w:r w:rsidR="000F1D9A" w:rsidRPr="00D93672">
        <w:t>3(c)(ii)(2)</w:t>
      </w:r>
      <w:r w:rsidRPr="00D93672">
        <w:t xml:space="preserve"> below.</w:t>
      </w:r>
      <w:r w:rsidR="00A92D08">
        <w:t>]</w:t>
      </w:r>
    </w:p>
    <w:p w14:paraId="7E035446" w14:textId="77777777" w:rsidR="00514A1F" w:rsidRPr="002246E7" w:rsidRDefault="002B18BC" w:rsidP="007523A1">
      <w:pPr>
        <w:pStyle w:val="ListParagraph"/>
        <w:numPr>
          <w:ilvl w:val="3"/>
          <w:numId w:val="1"/>
        </w:numPr>
        <w:jc w:val="both"/>
      </w:pPr>
      <w:r w:rsidRPr="00D93672">
        <w:t>T</w:t>
      </w:r>
      <w:r w:rsidR="00B907EE" w:rsidRPr="00D93672">
        <w:t xml:space="preserve">ake the temperature of employees, or ask if they </w:t>
      </w:r>
      <w:r w:rsidR="00514A1F" w:rsidRPr="00D93672">
        <w:t>have symptoms</w:t>
      </w:r>
      <w:r w:rsidR="00021A6D" w:rsidRPr="00D93672">
        <w:t xml:space="preserve"> associated with </w:t>
      </w:r>
      <w:r w:rsidR="00514A1F" w:rsidRPr="00D93672">
        <w:t>COVID-19</w:t>
      </w:r>
      <w:r w:rsidR="00B907EE" w:rsidRPr="00D93672">
        <w:t xml:space="preserve">, </w:t>
      </w:r>
      <w:r w:rsidR="00514A1F" w:rsidRPr="00D93672">
        <w:t xml:space="preserve">e.g., </w:t>
      </w:r>
      <w:r w:rsidR="00946D2C" w:rsidRPr="00D93672">
        <w:t xml:space="preserve">fever, chills, cough, shortness of breath, or sore throat </w:t>
      </w:r>
      <w:r w:rsidR="00B907EE" w:rsidRPr="00D93672">
        <w:t xml:space="preserve">(even though </w:t>
      </w:r>
      <w:r w:rsidR="00021A6D" w:rsidRPr="00D93672">
        <w:t xml:space="preserve">that is </w:t>
      </w:r>
      <w:r w:rsidR="00B907EE" w:rsidRPr="00D93672">
        <w:t>not normally permitted)</w:t>
      </w:r>
      <w:r w:rsidR="001C2B0C">
        <w:t xml:space="preserve">. </w:t>
      </w:r>
      <w:r w:rsidR="001C2B0C" w:rsidRPr="003908BA">
        <w:rPr>
          <w:i/>
        </w:rPr>
        <w:t>Id</w:t>
      </w:r>
      <w:r w:rsidR="001C2B0C">
        <w:t xml:space="preserve">., Question </w:t>
      </w:r>
      <w:r w:rsidR="00C32914">
        <w:t>7</w:t>
      </w:r>
      <w:r w:rsidR="001C2B0C">
        <w:t>.</w:t>
      </w:r>
      <w:r w:rsidR="00490ECC">
        <w:t xml:space="preserve"> But if </w:t>
      </w:r>
      <w:r w:rsidR="00490ECC" w:rsidRPr="00490ECC">
        <w:t>a manager ask</w:t>
      </w:r>
      <w:r w:rsidR="00490ECC">
        <w:t>s</w:t>
      </w:r>
      <w:r w:rsidR="00490ECC" w:rsidRPr="00490ECC">
        <w:t xml:space="preserve"> only one employee</w:t>
      </w:r>
      <w:r w:rsidR="002246E7">
        <w:t>—</w:t>
      </w:r>
      <w:r w:rsidR="00490ECC" w:rsidRPr="00490ECC">
        <w:t>as opposed to asking all employees</w:t>
      </w:r>
      <w:r w:rsidR="002246E7">
        <w:t xml:space="preserve">—the </w:t>
      </w:r>
      <w:r w:rsidR="002246E7" w:rsidRPr="002246E7">
        <w:t xml:space="preserve">employer </w:t>
      </w:r>
      <w:r w:rsidR="002246E7">
        <w:t xml:space="preserve">must </w:t>
      </w:r>
      <w:r w:rsidR="002246E7" w:rsidRPr="002246E7">
        <w:t xml:space="preserve">have a reasonable belief based on objective evidence that this </w:t>
      </w:r>
      <w:r w:rsidR="00B720D6">
        <w:t xml:space="preserve">particular </w:t>
      </w:r>
      <w:r w:rsidR="002246E7" w:rsidRPr="002246E7">
        <w:t xml:space="preserve">person might have the disease. </w:t>
      </w:r>
      <w:r w:rsidR="002246E7" w:rsidRPr="003908BA">
        <w:rPr>
          <w:i/>
        </w:rPr>
        <w:t>Transcript of March 27, 2020 Outreach Webinar</w:t>
      </w:r>
      <w:r w:rsidR="002246E7">
        <w:t xml:space="preserve"> (EEOC), Question 3 (hereafter “</w:t>
      </w:r>
      <w:r w:rsidR="00A465C2">
        <w:t>EEOC</w:t>
      </w:r>
      <w:r w:rsidR="002246E7">
        <w:t xml:space="preserve"> Webinar”).</w:t>
      </w:r>
      <w:r w:rsidR="002246E7">
        <w:rPr>
          <w:rStyle w:val="FootnoteReference"/>
        </w:rPr>
        <w:footnoteReference w:id="5"/>
      </w:r>
      <w:r w:rsidR="003908BA">
        <w:t xml:space="preserve"> And alternate screening methods could be required as an accommodation.</w:t>
      </w:r>
      <w:r w:rsidR="003908BA" w:rsidRPr="00D93672">
        <w:t xml:space="preserve"> </w:t>
      </w:r>
      <w:r w:rsidR="003908BA" w:rsidRPr="003908BA">
        <w:rPr>
          <w:i/>
        </w:rPr>
        <w:t>What You Should Know</w:t>
      </w:r>
      <w:r w:rsidR="003908BA">
        <w:t xml:space="preserve">, </w:t>
      </w:r>
      <w:r w:rsidR="003908BA" w:rsidRPr="003908BA">
        <w:rPr>
          <w:i/>
        </w:rPr>
        <w:t>supra</w:t>
      </w:r>
      <w:r w:rsidR="003908BA">
        <w:t>, Question G.7.</w:t>
      </w:r>
    </w:p>
    <w:p w14:paraId="60C4F977" w14:textId="77777777" w:rsidR="00685323" w:rsidRDefault="008A214C" w:rsidP="00D93672">
      <w:pPr>
        <w:pStyle w:val="ListParagraph"/>
        <w:numPr>
          <w:ilvl w:val="3"/>
          <w:numId w:val="1"/>
        </w:numPr>
        <w:jc w:val="both"/>
      </w:pPr>
      <w:r w:rsidRPr="00D93672">
        <w:t>Require medical input certifying fitness for duty when an employee returns to work</w:t>
      </w:r>
      <w:r w:rsidR="00685323">
        <w:t xml:space="preserve">. </w:t>
      </w:r>
      <w:r w:rsidR="00F96102" w:rsidRPr="009D39CB">
        <w:rPr>
          <w:i/>
        </w:rPr>
        <w:t>EEOC’s Pandemic Preparedness</w:t>
      </w:r>
      <w:r w:rsidR="00F96102">
        <w:t xml:space="preserve">, </w:t>
      </w:r>
      <w:r w:rsidR="00F96102" w:rsidRPr="009D39CB">
        <w:rPr>
          <w:i/>
        </w:rPr>
        <w:t>supra</w:t>
      </w:r>
      <w:r w:rsidR="00F96102">
        <w:t>, Question 20</w:t>
      </w:r>
      <w:r w:rsidR="00685323">
        <w:t>.</w:t>
      </w:r>
    </w:p>
    <w:p w14:paraId="7FA323C4" w14:textId="77777777" w:rsidR="008A214C" w:rsidRPr="00D93672" w:rsidRDefault="008D7879" w:rsidP="00B44132">
      <w:pPr>
        <w:pStyle w:val="ListParagraph"/>
        <w:numPr>
          <w:ilvl w:val="3"/>
          <w:numId w:val="1"/>
        </w:numPr>
        <w:jc w:val="both"/>
      </w:pPr>
      <w:r>
        <w:t>A</w:t>
      </w:r>
      <w:r w:rsidR="00685323">
        <w:t>dminister COVID-19 testing to employees before they enter the workplace to determine if they have the virus</w:t>
      </w:r>
      <w:r>
        <w:t xml:space="preserve">, so long as the test used is </w:t>
      </w:r>
      <w:r w:rsidR="00685323">
        <w:t>accurate and reliable.</w:t>
      </w:r>
      <w:r>
        <w:t xml:space="preserve"> </w:t>
      </w:r>
      <w:r w:rsidRPr="008D7879">
        <w:rPr>
          <w:i/>
        </w:rPr>
        <w:t>What You Should Know</w:t>
      </w:r>
      <w:r>
        <w:t xml:space="preserve">, </w:t>
      </w:r>
      <w:r w:rsidR="00600DCE" w:rsidRPr="00600DCE">
        <w:rPr>
          <w:i/>
        </w:rPr>
        <w:t>supra</w:t>
      </w:r>
      <w:r w:rsidR="00600DCE">
        <w:t xml:space="preserve">, </w:t>
      </w:r>
      <w:r>
        <w:t>Question A.6</w:t>
      </w:r>
      <w:r w:rsidR="00600DCE">
        <w:t>.</w:t>
      </w:r>
    </w:p>
    <w:p w14:paraId="30A018BB" w14:textId="77777777" w:rsidR="00E45846" w:rsidRPr="00D93672" w:rsidRDefault="00E45846" w:rsidP="003908BA">
      <w:pPr>
        <w:pStyle w:val="ListParagraph"/>
        <w:numPr>
          <w:ilvl w:val="3"/>
          <w:numId w:val="1"/>
        </w:numPr>
        <w:jc w:val="both"/>
      </w:pPr>
      <w:r w:rsidRPr="00D93672">
        <w:t>Take the temperature or otherwise screen job applicants for symptoms, so long as it is done after a conditional job offer, and for all entering employees in the same type of job</w:t>
      </w:r>
      <w:r w:rsidR="00C32914">
        <w:t xml:space="preserve">. </w:t>
      </w:r>
      <w:r w:rsidR="008D7879" w:rsidRPr="009D39CB">
        <w:rPr>
          <w:i/>
        </w:rPr>
        <w:t>EEOC’s Pandemic Preparedness</w:t>
      </w:r>
      <w:r w:rsidR="008D7879">
        <w:t xml:space="preserve">, </w:t>
      </w:r>
      <w:r w:rsidR="008D7879" w:rsidRPr="009D39CB">
        <w:rPr>
          <w:i/>
        </w:rPr>
        <w:t>supra</w:t>
      </w:r>
      <w:r w:rsidR="008D7879">
        <w:t xml:space="preserve">, </w:t>
      </w:r>
      <w:r w:rsidR="00C32914">
        <w:t>Question</w:t>
      </w:r>
      <w:r w:rsidR="009B5525">
        <w:t>s</w:t>
      </w:r>
      <w:r w:rsidR="00C32914">
        <w:t xml:space="preserve"> </w:t>
      </w:r>
      <w:r w:rsidR="00F96102">
        <w:t>16</w:t>
      </w:r>
      <w:r w:rsidR="009B5525">
        <w:t>–17</w:t>
      </w:r>
      <w:r w:rsidR="00C32914">
        <w:t>.</w:t>
      </w:r>
      <w:r w:rsidRPr="00D93672">
        <w:t xml:space="preserve"> </w:t>
      </w:r>
    </w:p>
    <w:p w14:paraId="08E18199" w14:textId="77777777" w:rsidR="00E45846" w:rsidRPr="00D93672" w:rsidRDefault="00E45846" w:rsidP="00D93672">
      <w:pPr>
        <w:pStyle w:val="ListParagraph"/>
        <w:numPr>
          <w:ilvl w:val="3"/>
          <w:numId w:val="1"/>
        </w:numPr>
        <w:jc w:val="both"/>
      </w:pPr>
      <w:r w:rsidRPr="00D93672">
        <w:t>Delay the start date of an applicant who has symptoms</w:t>
      </w:r>
      <w:r w:rsidR="007B5005">
        <w:t xml:space="preserve">. </w:t>
      </w:r>
      <w:r w:rsidR="007B5005" w:rsidRPr="007B5005">
        <w:rPr>
          <w:i/>
        </w:rPr>
        <w:t>Id</w:t>
      </w:r>
      <w:r w:rsidR="007B5005">
        <w:t>., Question 18.</w:t>
      </w:r>
      <w:r w:rsidRPr="00D93672">
        <w:t xml:space="preserve"> </w:t>
      </w:r>
    </w:p>
    <w:p w14:paraId="4E357EE2" w14:textId="77777777" w:rsidR="00E45846" w:rsidRDefault="00E45846" w:rsidP="00D93672">
      <w:pPr>
        <w:pStyle w:val="ListParagraph"/>
        <w:numPr>
          <w:ilvl w:val="3"/>
          <w:numId w:val="1"/>
        </w:numPr>
        <w:jc w:val="both"/>
      </w:pPr>
      <w:r w:rsidRPr="00D93672">
        <w:t>Withdraw a job offer for one with COVID-19 or symptoms, if it needs the applicant to start immediately.</w:t>
      </w:r>
      <w:r w:rsidR="008D51A4">
        <w:t xml:space="preserve"> </w:t>
      </w:r>
      <w:r w:rsidR="008D51A4" w:rsidRPr="008D51A4">
        <w:rPr>
          <w:i/>
        </w:rPr>
        <w:t>Id</w:t>
      </w:r>
      <w:r w:rsidR="008D51A4">
        <w:t>., Question 19.</w:t>
      </w:r>
    </w:p>
    <w:p w14:paraId="755175B2" w14:textId="77777777" w:rsidR="00554683" w:rsidRDefault="00554683" w:rsidP="009030CE">
      <w:pPr>
        <w:pStyle w:val="ListParagraph"/>
        <w:numPr>
          <w:ilvl w:val="3"/>
          <w:numId w:val="1"/>
        </w:numPr>
        <w:jc w:val="both"/>
      </w:pPr>
      <w:r>
        <w:t xml:space="preserve">Disclose the name of an employee to a public health agency when it learns that the employee has COVID-19. </w:t>
      </w:r>
      <w:r w:rsidRPr="00554683">
        <w:rPr>
          <w:i/>
        </w:rPr>
        <w:t>What You Should Know</w:t>
      </w:r>
      <w:r>
        <w:t xml:space="preserve">, </w:t>
      </w:r>
      <w:r w:rsidRPr="00554683">
        <w:rPr>
          <w:i/>
        </w:rPr>
        <w:t>supra</w:t>
      </w:r>
      <w:r>
        <w:t>, Question B.3</w:t>
      </w:r>
      <w:r w:rsidR="00BA347F">
        <w:t xml:space="preserve">; </w:t>
      </w:r>
      <w:r w:rsidR="00BA347F" w:rsidRPr="00BA347F">
        <w:rPr>
          <w:i/>
        </w:rPr>
        <w:t>EEOC Webinar</w:t>
      </w:r>
      <w:r w:rsidR="00BA347F">
        <w:t xml:space="preserve">, </w:t>
      </w:r>
      <w:r w:rsidR="00BA347F" w:rsidRPr="00BA347F">
        <w:rPr>
          <w:i/>
        </w:rPr>
        <w:t>supra</w:t>
      </w:r>
      <w:r w:rsidR="00BA347F">
        <w:t>, Question 10</w:t>
      </w:r>
      <w:r>
        <w:t>.</w:t>
      </w:r>
    </w:p>
    <w:p w14:paraId="511D2673" w14:textId="77777777" w:rsidR="00FD5801" w:rsidRDefault="00FD5801" w:rsidP="00C7463F">
      <w:pPr>
        <w:pStyle w:val="ListParagraph"/>
        <w:numPr>
          <w:ilvl w:val="3"/>
          <w:numId w:val="1"/>
        </w:numPr>
        <w:jc w:val="both"/>
      </w:pPr>
      <w:r>
        <w:t xml:space="preserve">Disclose the name of a staffing-firm employee with COVID-19 to the client company where the individual is working. </w:t>
      </w:r>
      <w:r w:rsidR="00C7463F" w:rsidRPr="00C7463F">
        <w:rPr>
          <w:i/>
        </w:rPr>
        <w:t>What You Should Know</w:t>
      </w:r>
      <w:r w:rsidR="00C7463F" w:rsidRPr="00C7463F">
        <w:t xml:space="preserve">, </w:t>
      </w:r>
      <w:r w:rsidR="00C7463F" w:rsidRPr="00C7463F">
        <w:rPr>
          <w:i/>
        </w:rPr>
        <w:t>supra</w:t>
      </w:r>
      <w:r w:rsidR="00C7463F" w:rsidRPr="00C7463F">
        <w:t xml:space="preserve">, </w:t>
      </w:r>
      <w:r>
        <w:t xml:space="preserve">Question </w:t>
      </w:r>
      <w:r w:rsidRPr="00FD5801">
        <w:t>B.4.</w:t>
      </w:r>
    </w:p>
    <w:p w14:paraId="6658DC1F" w14:textId="77777777" w:rsidR="002B35D1" w:rsidRPr="00D93672" w:rsidRDefault="002B35D1" w:rsidP="002B35D1">
      <w:pPr>
        <w:pStyle w:val="ListParagraph"/>
        <w:numPr>
          <w:ilvl w:val="3"/>
          <w:numId w:val="1"/>
        </w:numPr>
        <w:jc w:val="both"/>
      </w:pPr>
      <w:r>
        <w:t>In</w:t>
      </w:r>
      <w:r w:rsidRPr="002B35D1">
        <w:t xml:space="preserve">terview </w:t>
      </w:r>
      <w:r>
        <w:t>an</w:t>
      </w:r>
      <w:r w:rsidRPr="002B35D1">
        <w:t xml:space="preserve"> employee </w:t>
      </w:r>
      <w:r>
        <w:t xml:space="preserve">who has COVID-19 </w:t>
      </w:r>
      <w:r w:rsidRPr="002B35D1">
        <w:t xml:space="preserve">to get a list of people </w:t>
      </w:r>
      <w:r w:rsidR="00C7463F">
        <w:t xml:space="preserve">who may have </w:t>
      </w:r>
      <w:r w:rsidRPr="002B35D1">
        <w:t xml:space="preserve">had contact </w:t>
      </w:r>
      <w:r w:rsidR="00C7463F">
        <w:t xml:space="preserve">in </w:t>
      </w:r>
      <w:r w:rsidRPr="002B35D1">
        <w:t xml:space="preserve">the workplace, </w:t>
      </w:r>
      <w:r>
        <w:t xml:space="preserve">and </w:t>
      </w:r>
      <w:r w:rsidRPr="002B35D1">
        <w:t xml:space="preserve">notify those </w:t>
      </w:r>
      <w:r w:rsidR="00C7463F">
        <w:t>individuals</w:t>
      </w:r>
      <w:r>
        <w:t xml:space="preserve">. But the </w:t>
      </w:r>
      <w:r w:rsidRPr="00C7463F">
        <w:rPr>
          <w:i/>
        </w:rPr>
        <w:t>name</w:t>
      </w:r>
      <w:r>
        <w:t xml:space="preserve"> of the infected employee should generally not be disclosed to other staff.</w:t>
      </w:r>
      <w:r w:rsidR="00C7463F" w:rsidRPr="00C7463F">
        <w:rPr>
          <w:i/>
        </w:rPr>
        <w:t xml:space="preserve"> </w:t>
      </w:r>
      <w:r w:rsidR="00C7463F" w:rsidRPr="00FA64C7">
        <w:rPr>
          <w:i/>
        </w:rPr>
        <w:t>EEOC Webinar</w:t>
      </w:r>
      <w:r w:rsidR="00C7463F" w:rsidRPr="00FA64C7">
        <w:t>,</w:t>
      </w:r>
      <w:r w:rsidR="00C7463F">
        <w:t xml:space="preserve"> </w:t>
      </w:r>
      <w:r w:rsidR="00C7463F" w:rsidRPr="00FA64C7">
        <w:rPr>
          <w:i/>
        </w:rPr>
        <w:t>supra</w:t>
      </w:r>
      <w:r w:rsidR="00C7463F">
        <w:t>, Questions 5 and 8.</w:t>
      </w:r>
    </w:p>
    <w:p w14:paraId="7A018300" w14:textId="77777777" w:rsidR="00915FF5" w:rsidRPr="00D93672" w:rsidRDefault="00915FF5" w:rsidP="00D93672">
      <w:pPr>
        <w:pStyle w:val="ListParagraph"/>
        <w:numPr>
          <w:ilvl w:val="2"/>
          <w:numId w:val="1"/>
        </w:numPr>
        <w:jc w:val="both"/>
      </w:pPr>
      <w:r w:rsidRPr="00D93672">
        <w:lastRenderedPageBreak/>
        <w:t xml:space="preserve">Employer </w:t>
      </w:r>
      <w:r w:rsidR="00FA64C7">
        <w:t>may not be able to</w:t>
      </w:r>
      <w:r w:rsidRPr="00D93672">
        <w:t>:</w:t>
      </w:r>
    </w:p>
    <w:p w14:paraId="270B8CDD" w14:textId="77777777" w:rsidR="00514A1F" w:rsidRDefault="00FD36FA" w:rsidP="00D93672">
      <w:pPr>
        <w:pStyle w:val="ListParagraph"/>
        <w:numPr>
          <w:ilvl w:val="3"/>
          <w:numId w:val="1"/>
        </w:numPr>
        <w:jc w:val="both"/>
      </w:pPr>
      <w:r w:rsidRPr="00D93672">
        <w:t>A</w:t>
      </w:r>
      <w:r w:rsidR="00514A1F" w:rsidRPr="00D93672">
        <w:t xml:space="preserve">sk </w:t>
      </w:r>
      <w:r w:rsidRPr="00D93672">
        <w:t xml:space="preserve">asymptomatic </w:t>
      </w:r>
      <w:r w:rsidR="00514A1F" w:rsidRPr="00D93672">
        <w:t xml:space="preserve">employees </w:t>
      </w:r>
      <w:r w:rsidRPr="00D93672">
        <w:t xml:space="preserve">if they have </w:t>
      </w:r>
      <w:r w:rsidR="00514A1F" w:rsidRPr="00D93672">
        <w:t>medical condition</w:t>
      </w:r>
      <w:r w:rsidRPr="00D93672">
        <w:t>s</w:t>
      </w:r>
      <w:r w:rsidR="00514A1F" w:rsidRPr="00D93672">
        <w:t xml:space="preserve"> that </w:t>
      </w:r>
      <w:r w:rsidRPr="00D93672">
        <w:t>would make them esp</w:t>
      </w:r>
      <w:r w:rsidR="00514A1F" w:rsidRPr="00D93672">
        <w:t>ecially vulnerable</w:t>
      </w:r>
      <w:r w:rsidR="001E4C70">
        <w:t xml:space="preserve">. </w:t>
      </w:r>
      <w:r w:rsidR="00B9359F" w:rsidRPr="009D39CB">
        <w:rPr>
          <w:i/>
        </w:rPr>
        <w:t>EEOC’s Pandemic Preparedness</w:t>
      </w:r>
      <w:r w:rsidR="00B9359F">
        <w:t xml:space="preserve">, </w:t>
      </w:r>
      <w:r w:rsidR="00B9359F" w:rsidRPr="009D39CB">
        <w:rPr>
          <w:i/>
        </w:rPr>
        <w:t>supra</w:t>
      </w:r>
      <w:r w:rsidR="00B9359F">
        <w:t xml:space="preserve">, </w:t>
      </w:r>
      <w:r w:rsidR="001E4C70">
        <w:t>Question 9.</w:t>
      </w:r>
    </w:p>
    <w:p w14:paraId="0127C97D" w14:textId="77777777" w:rsidR="00FA64C7" w:rsidRDefault="00FA64C7" w:rsidP="000C2597">
      <w:pPr>
        <w:pStyle w:val="ListParagraph"/>
        <w:numPr>
          <w:ilvl w:val="3"/>
          <w:numId w:val="1"/>
        </w:numPr>
        <w:jc w:val="both"/>
      </w:pPr>
      <w:r>
        <w:t>A</w:t>
      </w:r>
      <w:r w:rsidRPr="00FA64C7">
        <w:t xml:space="preserve">sk an employee </w:t>
      </w:r>
      <w:r w:rsidR="000C2597">
        <w:t>if</w:t>
      </w:r>
      <w:r w:rsidRPr="00FA64C7">
        <w:t xml:space="preserve"> they have family member</w:t>
      </w:r>
      <w:r>
        <w:t xml:space="preserve"> with </w:t>
      </w:r>
      <w:r w:rsidRPr="00FA64C7">
        <w:t>COVID-19 or symptoms associated with</w:t>
      </w:r>
      <w:r>
        <w:t xml:space="preserve"> it. This question may violate t</w:t>
      </w:r>
      <w:r w:rsidRPr="00FA64C7">
        <w:t>he Genetic Information Nondiscrimination Act</w:t>
      </w:r>
      <w:r>
        <w:t xml:space="preserve"> (GINA)</w:t>
      </w:r>
      <w:r w:rsidR="000C2597">
        <w:t>, and</w:t>
      </w:r>
      <w:r w:rsidRPr="00FA64C7">
        <w:t xml:space="preserve"> </w:t>
      </w:r>
      <w:r w:rsidR="000C2597">
        <w:t xml:space="preserve">a </w:t>
      </w:r>
      <w:r w:rsidR="000C2597" w:rsidRPr="000C2597">
        <w:t xml:space="preserve">better question is whether an individual has had contact with </w:t>
      </w:r>
      <w:r w:rsidR="000C2597" w:rsidRPr="000C2597">
        <w:rPr>
          <w:i/>
        </w:rPr>
        <w:t>anyone</w:t>
      </w:r>
      <w:r w:rsidR="000C2597" w:rsidRPr="000C2597">
        <w:t xml:space="preserve"> diagnosed with COVID-19 or who </w:t>
      </w:r>
      <w:r w:rsidR="000C2597">
        <w:t>has s</w:t>
      </w:r>
      <w:r w:rsidR="000C2597" w:rsidRPr="000C2597">
        <w:t>ymptoms associated with</w:t>
      </w:r>
      <w:r w:rsidR="000C2597">
        <w:t xml:space="preserve"> it. </w:t>
      </w:r>
      <w:r w:rsidRPr="00FA64C7">
        <w:rPr>
          <w:i/>
        </w:rPr>
        <w:t>EEOC Webinar</w:t>
      </w:r>
      <w:r w:rsidRPr="00FA64C7">
        <w:t>,</w:t>
      </w:r>
      <w:r>
        <w:t xml:space="preserve"> </w:t>
      </w:r>
      <w:r w:rsidRPr="00FA64C7">
        <w:rPr>
          <w:i/>
        </w:rPr>
        <w:t>supra</w:t>
      </w:r>
      <w:r>
        <w:t>, Question 4.</w:t>
      </w:r>
    </w:p>
    <w:p w14:paraId="6E6973A9" w14:textId="77777777" w:rsidR="00576B10" w:rsidRPr="00D93672" w:rsidRDefault="00576B10" w:rsidP="008040A1">
      <w:pPr>
        <w:pStyle w:val="ListParagraph"/>
        <w:numPr>
          <w:ilvl w:val="3"/>
          <w:numId w:val="1"/>
        </w:numPr>
        <w:jc w:val="both"/>
      </w:pPr>
      <w:r>
        <w:t xml:space="preserve">Disclose </w:t>
      </w:r>
      <w:r w:rsidR="008040A1">
        <w:t xml:space="preserve">to staff </w:t>
      </w:r>
      <w:r>
        <w:t>the name of an employee who has COVID-19</w:t>
      </w:r>
      <w:r w:rsidR="008040A1">
        <w:t xml:space="preserve">. On the other hand, the identity may be shared with those few employees who have a need to know, such as those designated to do contact tracing, or those who report to, and take action recommended by, public-health authorities. </w:t>
      </w:r>
      <w:r w:rsidR="008040A1" w:rsidRPr="00FA64C7">
        <w:rPr>
          <w:i/>
        </w:rPr>
        <w:t>EEOC Webinar</w:t>
      </w:r>
      <w:r w:rsidR="008040A1" w:rsidRPr="00FA64C7">
        <w:t>,</w:t>
      </w:r>
      <w:r w:rsidR="008040A1">
        <w:t xml:space="preserve"> </w:t>
      </w:r>
      <w:r w:rsidR="008040A1" w:rsidRPr="00FA64C7">
        <w:rPr>
          <w:i/>
        </w:rPr>
        <w:t>supra</w:t>
      </w:r>
      <w:r w:rsidR="008040A1">
        <w:t>, Questions 5, 8, and 10.</w:t>
      </w:r>
    </w:p>
    <w:p w14:paraId="5E86FD86" w14:textId="77777777" w:rsidR="00514A1F" w:rsidRPr="00D93672" w:rsidRDefault="002B18BC" w:rsidP="00D93672">
      <w:pPr>
        <w:pStyle w:val="ListParagraph"/>
        <w:numPr>
          <w:ilvl w:val="3"/>
          <w:numId w:val="1"/>
        </w:numPr>
        <w:jc w:val="both"/>
      </w:pPr>
      <w:r w:rsidRPr="00D93672">
        <w:t xml:space="preserve">Compel employees to </w:t>
      </w:r>
      <w:r w:rsidR="00514A1F" w:rsidRPr="00D93672">
        <w:t xml:space="preserve">take </w:t>
      </w:r>
      <w:r w:rsidR="00010F17" w:rsidRPr="00D93672">
        <w:t>a</w:t>
      </w:r>
      <w:r w:rsidR="00514A1F" w:rsidRPr="00D93672">
        <w:t xml:space="preserve"> vaccine </w:t>
      </w:r>
      <w:r w:rsidRPr="00D93672">
        <w:t xml:space="preserve">if they have a </w:t>
      </w:r>
      <w:r w:rsidR="00514A1F" w:rsidRPr="00D93672">
        <w:t>medical</w:t>
      </w:r>
      <w:r w:rsidR="00A3053F">
        <w:t xml:space="preserve"> c</w:t>
      </w:r>
      <w:r w:rsidR="00514A1F" w:rsidRPr="00D93672">
        <w:t xml:space="preserve">ondition </w:t>
      </w:r>
      <w:r w:rsidRPr="00D93672">
        <w:t>that prevents doing so safely.</w:t>
      </w:r>
      <w:r w:rsidR="001E4C70">
        <w:t xml:space="preserve"> </w:t>
      </w:r>
      <w:r w:rsidR="005119CA" w:rsidRPr="009D39CB">
        <w:rPr>
          <w:i/>
        </w:rPr>
        <w:t>EEOC’s Pandemic Preparedness</w:t>
      </w:r>
      <w:r w:rsidR="005119CA">
        <w:t xml:space="preserve">, </w:t>
      </w:r>
      <w:r w:rsidR="005119CA" w:rsidRPr="009D39CB">
        <w:rPr>
          <w:i/>
        </w:rPr>
        <w:t>supra</w:t>
      </w:r>
      <w:r w:rsidR="005119CA">
        <w:t xml:space="preserve">, </w:t>
      </w:r>
      <w:r w:rsidR="001E4C70">
        <w:t>Question 13.</w:t>
      </w:r>
      <w:r w:rsidR="00E17EAE" w:rsidRPr="00D93672">
        <w:rPr>
          <w:rStyle w:val="FootnoteReference"/>
        </w:rPr>
        <w:footnoteReference w:id="6"/>
      </w:r>
      <w:r w:rsidRPr="00D93672">
        <w:t xml:space="preserve"> </w:t>
      </w:r>
    </w:p>
    <w:p w14:paraId="7BB8EF0B" w14:textId="77777777" w:rsidR="00815815" w:rsidRPr="00D93672" w:rsidRDefault="00915FF5" w:rsidP="00D93672">
      <w:pPr>
        <w:pStyle w:val="ListParagraph"/>
        <w:numPr>
          <w:ilvl w:val="2"/>
          <w:numId w:val="1"/>
        </w:numPr>
        <w:jc w:val="both"/>
        <w:rPr>
          <w:b/>
        </w:rPr>
      </w:pPr>
      <w:r w:rsidRPr="00D93672">
        <w:t>Employers must maintain all information about employee illness as a confidential medical record</w:t>
      </w:r>
      <w:r w:rsidR="004E580D">
        <w:t xml:space="preserve">. </w:t>
      </w:r>
      <w:r w:rsidR="004E580D" w:rsidRPr="004E580D">
        <w:rPr>
          <w:i/>
        </w:rPr>
        <w:t>Id</w:t>
      </w:r>
      <w:r w:rsidR="004E580D">
        <w:t>., §</w:t>
      </w:r>
      <w:r w:rsidR="00200A41">
        <w:t xml:space="preserve"> </w:t>
      </w:r>
      <w:r w:rsidR="004E580D">
        <w:t>II.A.2, and Questions 3, 6, 7, and 9.</w:t>
      </w:r>
    </w:p>
    <w:p w14:paraId="00B77262" w14:textId="77777777" w:rsidR="00D7279C" w:rsidRPr="00D7279C" w:rsidRDefault="00D7279C" w:rsidP="00CA338B">
      <w:pPr>
        <w:pStyle w:val="ListParagraph"/>
        <w:numPr>
          <w:ilvl w:val="1"/>
          <w:numId w:val="1"/>
        </w:numPr>
      </w:pPr>
      <w:r>
        <w:rPr>
          <w:b/>
        </w:rPr>
        <w:t xml:space="preserve">Pre-existing </w:t>
      </w:r>
      <w:r w:rsidR="00284B40" w:rsidRPr="00CA338B">
        <w:rPr>
          <w:b/>
        </w:rPr>
        <w:t>accommodation</w:t>
      </w:r>
      <w:r w:rsidR="00060B0D" w:rsidRPr="00CA338B">
        <w:rPr>
          <w:b/>
        </w:rPr>
        <w:t>s</w:t>
      </w:r>
    </w:p>
    <w:p w14:paraId="18ABD6F8" w14:textId="77777777" w:rsidR="00D7279C" w:rsidRDefault="00D7279C" w:rsidP="00D7279C">
      <w:pPr>
        <w:pStyle w:val="ListParagraph"/>
        <w:numPr>
          <w:ilvl w:val="2"/>
          <w:numId w:val="1"/>
        </w:numPr>
      </w:pPr>
      <w:r>
        <w:t>D</w:t>
      </w:r>
      <w:r w:rsidR="00010F17" w:rsidRPr="00D93672">
        <w:t xml:space="preserve">uring a pandemic, </w:t>
      </w:r>
      <w:r w:rsidR="00060B0D" w:rsidRPr="00D93672">
        <w:t xml:space="preserve">an </w:t>
      </w:r>
      <w:r w:rsidR="00010F17" w:rsidRPr="00D93672">
        <w:t xml:space="preserve">employer </w:t>
      </w:r>
      <w:r w:rsidR="00060B0D" w:rsidRPr="00D93672">
        <w:t xml:space="preserve">must </w:t>
      </w:r>
      <w:r w:rsidR="00010F17" w:rsidRPr="00D93672">
        <w:t xml:space="preserve">continue reasonable accommodations for employees with known disabilities that are unrelated to the pandemic, barring </w:t>
      </w:r>
      <w:r w:rsidR="004E580D">
        <w:t xml:space="preserve">direct threat or </w:t>
      </w:r>
      <w:r w:rsidR="00010F17" w:rsidRPr="00D93672">
        <w:t>undue hardship</w:t>
      </w:r>
      <w:r w:rsidR="00F277C5" w:rsidRPr="00D93672">
        <w:t xml:space="preserve">. </w:t>
      </w:r>
      <w:r w:rsidR="004E580D" w:rsidRPr="00CA338B">
        <w:rPr>
          <w:i/>
        </w:rPr>
        <w:t>Id</w:t>
      </w:r>
      <w:r w:rsidR="004E580D">
        <w:t>., Question 14.</w:t>
      </w:r>
    </w:p>
    <w:p w14:paraId="1362B8DF" w14:textId="77777777" w:rsidR="00C43D59" w:rsidRDefault="00C43D59" w:rsidP="00D7279C">
      <w:pPr>
        <w:pStyle w:val="ListParagraph"/>
        <w:numPr>
          <w:ilvl w:val="2"/>
          <w:numId w:val="1"/>
        </w:numPr>
      </w:pPr>
      <w:r>
        <w:t xml:space="preserve">If the employer moves its operations online, it must still consider whether previous accommodations </w:t>
      </w:r>
      <w:r w:rsidR="006C737D">
        <w:t>should</w:t>
      </w:r>
      <w:r>
        <w:t xml:space="preserve"> be continued. </w:t>
      </w:r>
      <w:r w:rsidRPr="005119CA">
        <w:rPr>
          <w:i/>
        </w:rPr>
        <w:t>EEOC Webinar</w:t>
      </w:r>
      <w:r>
        <w:t xml:space="preserve">, </w:t>
      </w:r>
      <w:r w:rsidRPr="005119CA">
        <w:rPr>
          <w:i/>
        </w:rPr>
        <w:t>supra</w:t>
      </w:r>
      <w:r>
        <w:t>, Question 20.</w:t>
      </w:r>
    </w:p>
    <w:p w14:paraId="4D5AFAA5" w14:textId="77777777" w:rsidR="00284B40" w:rsidRPr="00CA338B" w:rsidRDefault="006B6B48" w:rsidP="00D7279C">
      <w:pPr>
        <w:pStyle w:val="ListParagraph"/>
        <w:numPr>
          <w:ilvl w:val="2"/>
          <w:numId w:val="1"/>
        </w:numPr>
      </w:pPr>
      <w:r>
        <w:t xml:space="preserve">Moreover, an employee with a disability may need additional, or different accommodations during the pandemic. </w:t>
      </w:r>
      <w:r w:rsidR="00CA338B" w:rsidRPr="00CA338B">
        <w:rPr>
          <w:i/>
        </w:rPr>
        <w:t>What You Should Know</w:t>
      </w:r>
      <w:r w:rsidR="00CA338B">
        <w:t xml:space="preserve">, </w:t>
      </w:r>
      <w:r w:rsidR="00CA338B" w:rsidRPr="00CA338B">
        <w:rPr>
          <w:i/>
        </w:rPr>
        <w:t>supra</w:t>
      </w:r>
      <w:r w:rsidR="00CA338B">
        <w:t>, Question D.4.</w:t>
      </w:r>
    </w:p>
    <w:p w14:paraId="364E73E8" w14:textId="77777777" w:rsidR="001738B0" w:rsidRPr="00D93672" w:rsidRDefault="001738B0" w:rsidP="00D93672">
      <w:pPr>
        <w:pStyle w:val="ListParagraph"/>
        <w:numPr>
          <w:ilvl w:val="1"/>
          <w:numId w:val="1"/>
        </w:numPr>
        <w:jc w:val="both"/>
        <w:rPr>
          <w:b/>
        </w:rPr>
      </w:pPr>
      <w:r w:rsidRPr="00D93672">
        <w:rPr>
          <w:b/>
        </w:rPr>
        <w:t>Forced leave</w:t>
      </w:r>
      <w:r w:rsidR="00284B40" w:rsidRPr="00D93672">
        <w:rPr>
          <w:b/>
        </w:rPr>
        <w:t xml:space="preserve"> </w:t>
      </w:r>
    </w:p>
    <w:p w14:paraId="7AC152E9" w14:textId="77777777" w:rsidR="0091665F" w:rsidRPr="00D93672" w:rsidRDefault="00060B0D" w:rsidP="00CA338B">
      <w:pPr>
        <w:pStyle w:val="ListParagraph"/>
        <w:numPr>
          <w:ilvl w:val="2"/>
          <w:numId w:val="1"/>
        </w:numPr>
        <w:jc w:val="both"/>
      </w:pPr>
      <w:r w:rsidRPr="00D93672">
        <w:t>E</w:t>
      </w:r>
      <w:r w:rsidR="00514A1F" w:rsidRPr="00D93672">
        <w:t>mployer</w:t>
      </w:r>
      <w:r w:rsidRPr="00D93672">
        <w:t>s may</w:t>
      </w:r>
      <w:r w:rsidR="00514A1F" w:rsidRPr="00D93672">
        <w:t xml:space="preserve"> send employees home if they </w:t>
      </w:r>
      <w:r w:rsidR="00486667" w:rsidRPr="00D93672">
        <w:t>volun</w:t>
      </w:r>
      <w:r w:rsidR="0091665F" w:rsidRPr="00D93672">
        <w:t>tarily disclose that they have COVID-19</w:t>
      </w:r>
      <w:r w:rsidR="006A1161">
        <w:t>.</w:t>
      </w:r>
      <w:r w:rsidR="00CA338B" w:rsidRPr="00CA338B">
        <w:t xml:space="preserve"> </w:t>
      </w:r>
      <w:r w:rsidR="00CA338B" w:rsidRPr="00CA338B">
        <w:rPr>
          <w:i/>
        </w:rPr>
        <w:t>EEOC’s Pandemic Preparedness</w:t>
      </w:r>
      <w:r w:rsidR="00CA338B">
        <w:t xml:space="preserve">, </w:t>
      </w:r>
      <w:r w:rsidR="00CA338B" w:rsidRPr="00CA338B">
        <w:rPr>
          <w:i/>
        </w:rPr>
        <w:t>supra</w:t>
      </w:r>
      <w:r w:rsidR="00CA338B">
        <w:t xml:space="preserve">, </w:t>
      </w:r>
      <w:r w:rsidR="006A1161">
        <w:t>Question 5.</w:t>
      </w:r>
    </w:p>
    <w:p w14:paraId="6596A75C" w14:textId="77777777" w:rsidR="00514A1F" w:rsidRPr="00D93672" w:rsidRDefault="0091665F" w:rsidP="00D93672">
      <w:pPr>
        <w:pStyle w:val="ListParagraph"/>
        <w:numPr>
          <w:ilvl w:val="2"/>
          <w:numId w:val="1"/>
        </w:numPr>
        <w:jc w:val="both"/>
      </w:pPr>
      <w:r w:rsidRPr="00D93672">
        <w:t>Employers may send employees home if they display symptoms</w:t>
      </w:r>
      <w:r w:rsidR="00E57DF7">
        <w:t xml:space="preserve">. </w:t>
      </w:r>
      <w:r w:rsidR="00E57DF7" w:rsidRPr="00E57DF7">
        <w:rPr>
          <w:i/>
        </w:rPr>
        <w:t>Id</w:t>
      </w:r>
      <w:r w:rsidR="00E57DF7">
        <w:t>.</w:t>
      </w:r>
    </w:p>
    <w:p w14:paraId="5F9F51DB" w14:textId="77777777" w:rsidR="0099199C" w:rsidRDefault="008B232C" w:rsidP="00D93672">
      <w:pPr>
        <w:pStyle w:val="ListParagraph"/>
        <w:numPr>
          <w:ilvl w:val="2"/>
          <w:numId w:val="1"/>
        </w:numPr>
        <w:jc w:val="both"/>
      </w:pPr>
      <w:r w:rsidRPr="00D93672">
        <w:t>An employer can only force leave on an individual with a condition that puts them at higher risk if</w:t>
      </w:r>
      <w:r w:rsidR="0099199C">
        <w:t>:</w:t>
      </w:r>
    </w:p>
    <w:p w14:paraId="7E142BCD" w14:textId="77777777" w:rsidR="0099199C" w:rsidRDefault="0099199C" w:rsidP="0099199C">
      <w:pPr>
        <w:pStyle w:val="ListParagraph"/>
        <w:numPr>
          <w:ilvl w:val="3"/>
          <w:numId w:val="1"/>
        </w:numPr>
        <w:jc w:val="both"/>
      </w:pPr>
      <w:r>
        <w:t>T</w:t>
      </w:r>
      <w:r w:rsidR="008B232C" w:rsidRPr="00D93672">
        <w:t>he employee voluntarily disclosed the condition (i.e., even though the employer did not ask)</w:t>
      </w:r>
      <w:r>
        <w:t xml:space="preserve">, </w:t>
      </w:r>
      <w:r w:rsidRPr="0099199C">
        <w:rPr>
          <w:i/>
        </w:rPr>
        <w:t>cf</w:t>
      </w:r>
      <w:r>
        <w:t xml:space="preserve">. </w:t>
      </w:r>
      <w:r w:rsidR="00CA338B" w:rsidRPr="00CA338B">
        <w:rPr>
          <w:i/>
        </w:rPr>
        <w:t xml:space="preserve">EEOC’s </w:t>
      </w:r>
      <w:r w:rsidRPr="00CA338B">
        <w:rPr>
          <w:i/>
        </w:rPr>
        <w:t>Pandemic</w:t>
      </w:r>
      <w:r w:rsidRPr="009D39CB">
        <w:rPr>
          <w:i/>
        </w:rPr>
        <w:t xml:space="preserve"> Preparedness</w:t>
      </w:r>
      <w:r>
        <w:t xml:space="preserve">, </w:t>
      </w:r>
      <w:r w:rsidRPr="009D39CB">
        <w:rPr>
          <w:i/>
        </w:rPr>
        <w:t>supra</w:t>
      </w:r>
      <w:r>
        <w:t>, Question 9; and</w:t>
      </w:r>
    </w:p>
    <w:p w14:paraId="66E1513B" w14:textId="77777777" w:rsidR="0091665F" w:rsidRPr="00D93672" w:rsidRDefault="0099199C" w:rsidP="0099199C">
      <w:pPr>
        <w:pStyle w:val="ListParagraph"/>
        <w:numPr>
          <w:ilvl w:val="3"/>
          <w:numId w:val="1"/>
        </w:numPr>
        <w:jc w:val="both"/>
      </w:pPr>
      <w:r>
        <w:lastRenderedPageBreak/>
        <w:t>C</w:t>
      </w:r>
      <w:r w:rsidR="008B232C" w:rsidRPr="00D93672">
        <w:t>ontinuing at work would pose a direct threat</w:t>
      </w:r>
      <w:r w:rsidR="00661D56">
        <w:t>.</w:t>
      </w:r>
      <w:r w:rsidR="005635C7">
        <w:t xml:space="preserve"> For more on direct threat, </w:t>
      </w:r>
      <w:r w:rsidR="005635C7" w:rsidRPr="005635C7">
        <w:t>s</w:t>
      </w:r>
      <w:r w:rsidR="00661D56" w:rsidRPr="005635C7">
        <w:t>ee</w:t>
      </w:r>
      <w:r w:rsidR="00661D56">
        <w:t xml:space="preserve"> </w:t>
      </w:r>
      <w:r w:rsidR="005635C7">
        <w:t xml:space="preserve">Part </w:t>
      </w:r>
      <w:r w:rsidR="002725FA">
        <w:t>4(f)</w:t>
      </w:r>
      <w:r w:rsidR="00661D56">
        <w:t xml:space="preserve"> below.</w:t>
      </w:r>
      <w:r w:rsidR="005635C7">
        <w:rPr>
          <w:rStyle w:val="FootnoteReference"/>
        </w:rPr>
        <w:footnoteReference w:id="7"/>
      </w:r>
    </w:p>
    <w:p w14:paraId="6CF624B7" w14:textId="77777777" w:rsidR="00677E1F" w:rsidRPr="00D93672" w:rsidRDefault="001738B0" w:rsidP="00D93672">
      <w:pPr>
        <w:pStyle w:val="ListParagraph"/>
        <w:numPr>
          <w:ilvl w:val="1"/>
          <w:numId w:val="1"/>
        </w:numPr>
        <w:jc w:val="both"/>
        <w:rPr>
          <w:b/>
        </w:rPr>
      </w:pPr>
      <w:r w:rsidRPr="00D93672">
        <w:rPr>
          <w:b/>
        </w:rPr>
        <w:t>Firing</w:t>
      </w:r>
    </w:p>
    <w:p w14:paraId="39EB69FB" w14:textId="77777777" w:rsidR="00677E1F" w:rsidRPr="00D93672" w:rsidRDefault="00F53FF6" w:rsidP="00D93672">
      <w:pPr>
        <w:pStyle w:val="ListParagraph"/>
        <w:numPr>
          <w:ilvl w:val="2"/>
          <w:numId w:val="1"/>
        </w:numPr>
        <w:jc w:val="both"/>
      </w:pPr>
      <w:r w:rsidRPr="00D93672">
        <w:t>A</w:t>
      </w:r>
      <w:r w:rsidR="0074643A" w:rsidRPr="00D93672">
        <w:t xml:space="preserve">n employer </w:t>
      </w:r>
      <w:r w:rsidR="00661D56">
        <w:t xml:space="preserve">may </w:t>
      </w:r>
      <w:r w:rsidR="0074643A" w:rsidRPr="00D93672">
        <w:t>violate the ADA if it</w:t>
      </w:r>
      <w:r w:rsidRPr="00D93672">
        <w:t xml:space="preserve"> fires an</w:t>
      </w:r>
      <w:r w:rsidR="0074643A" w:rsidRPr="00D93672">
        <w:t xml:space="preserve"> individual </w:t>
      </w:r>
      <w:r w:rsidR="00523124" w:rsidRPr="00D93672">
        <w:t xml:space="preserve">on the basis </w:t>
      </w:r>
      <w:r w:rsidRPr="00D93672">
        <w:t xml:space="preserve">of </w:t>
      </w:r>
      <w:r w:rsidR="0074643A" w:rsidRPr="00D93672">
        <w:t>COVID-19</w:t>
      </w:r>
      <w:r w:rsidR="007A01E6" w:rsidRPr="00D93672">
        <w:t xml:space="preserve">, </w:t>
      </w:r>
      <w:r w:rsidR="00677E1F" w:rsidRPr="00D93672">
        <w:t xml:space="preserve">because </w:t>
      </w:r>
      <w:r w:rsidR="00661D56">
        <w:t xml:space="preserve">the virus may be </w:t>
      </w:r>
      <w:r w:rsidR="00677E1F" w:rsidRPr="00D93672">
        <w:t>a disability</w:t>
      </w:r>
      <w:r w:rsidR="00202BE0" w:rsidRPr="00D93672">
        <w:t xml:space="preserve">, and because </w:t>
      </w:r>
      <w:r w:rsidR="00523124" w:rsidRPr="00D93672">
        <w:t xml:space="preserve">contract rights, </w:t>
      </w:r>
      <w:r w:rsidR="00677E1F" w:rsidRPr="00D93672">
        <w:t>employer leave policies</w:t>
      </w:r>
      <w:r w:rsidR="00523124" w:rsidRPr="00D93672">
        <w:t>,</w:t>
      </w:r>
      <w:r w:rsidR="00202BE0" w:rsidRPr="00D93672">
        <w:t xml:space="preserve"> or </w:t>
      </w:r>
      <w:r w:rsidR="00661D56">
        <w:t xml:space="preserve">other </w:t>
      </w:r>
      <w:r w:rsidR="00677E1F" w:rsidRPr="00D93672">
        <w:t>reas</w:t>
      </w:r>
      <w:r w:rsidR="00202BE0" w:rsidRPr="00D93672">
        <w:t>on</w:t>
      </w:r>
      <w:r w:rsidR="00677E1F" w:rsidRPr="00D93672">
        <w:t>able accommodations</w:t>
      </w:r>
      <w:r w:rsidR="00202BE0" w:rsidRPr="00D93672">
        <w:t xml:space="preserve"> will </w:t>
      </w:r>
      <w:r w:rsidR="00661D56">
        <w:t>often</w:t>
      </w:r>
      <w:r w:rsidR="00202BE0" w:rsidRPr="00D93672">
        <w:t xml:space="preserve"> address safety concerns</w:t>
      </w:r>
      <w:r w:rsidR="00677E1F" w:rsidRPr="00D93672">
        <w:t xml:space="preserve"> </w:t>
      </w:r>
    </w:p>
    <w:p w14:paraId="174D926F" w14:textId="77777777" w:rsidR="00357837" w:rsidRPr="00D93672" w:rsidRDefault="00677E1F" w:rsidP="00D93672">
      <w:pPr>
        <w:pStyle w:val="ListParagraph"/>
        <w:numPr>
          <w:ilvl w:val="2"/>
          <w:numId w:val="1"/>
        </w:numPr>
        <w:jc w:val="both"/>
      </w:pPr>
      <w:r w:rsidRPr="00D93672">
        <w:t xml:space="preserve">An employer </w:t>
      </w:r>
      <w:r w:rsidR="00661D56">
        <w:t>may</w:t>
      </w:r>
      <w:r w:rsidRPr="00D93672">
        <w:t xml:space="preserve"> violate the ADA if it fires an individual because it</w:t>
      </w:r>
      <w:r w:rsidR="00202BE0" w:rsidRPr="00D93672">
        <w:t xml:space="preserve"> mistakenly</w:t>
      </w:r>
      <w:r w:rsidRPr="00D93672">
        <w:t xml:space="preserve"> thinks </w:t>
      </w:r>
      <w:r w:rsidR="00202BE0" w:rsidRPr="00D93672">
        <w:t>an individual has COVID-19 despite information that the person does not</w:t>
      </w:r>
    </w:p>
    <w:p w14:paraId="15F77468" w14:textId="77777777" w:rsidR="00195E90" w:rsidRDefault="00357837" w:rsidP="00D93672">
      <w:pPr>
        <w:pStyle w:val="ListParagraph"/>
        <w:numPr>
          <w:ilvl w:val="2"/>
          <w:numId w:val="1"/>
        </w:numPr>
        <w:jc w:val="both"/>
      </w:pPr>
      <w:r w:rsidRPr="00D93672">
        <w:t xml:space="preserve">An employer may violate the ADA </w:t>
      </w:r>
      <w:r w:rsidR="00AF672F" w:rsidRPr="00D93672">
        <w:t>if it fires an employee because of the individual’s association with someone else who has COVID-19</w:t>
      </w:r>
      <w:r w:rsidR="002155FD" w:rsidRPr="00D93672">
        <w:t>, because contract rights or employer leave policies will likely address safety concerns</w:t>
      </w:r>
      <w:r w:rsidR="00195E90">
        <w:t>.</w:t>
      </w:r>
    </w:p>
    <w:p w14:paraId="51398994" w14:textId="77777777" w:rsidR="0074643A" w:rsidRPr="00D93672" w:rsidRDefault="00195E90" w:rsidP="00195E90">
      <w:pPr>
        <w:pStyle w:val="ListParagraph"/>
        <w:numPr>
          <w:ilvl w:val="2"/>
          <w:numId w:val="1"/>
        </w:numPr>
      </w:pPr>
      <w:r w:rsidRPr="00195E90">
        <w:t xml:space="preserve">An employer may violate the ADA if it fires an employee </w:t>
      </w:r>
      <w:r w:rsidR="00E55CDE">
        <w:t xml:space="preserve">on the basis of an underlying disability that it perceives as creating a higher risk of a serious case of COVID-19, </w:t>
      </w:r>
      <w:r w:rsidRPr="00195E90">
        <w:t xml:space="preserve">because </w:t>
      </w:r>
      <w:r w:rsidR="00E55CDE">
        <w:t>many disabilities do not create such a risk, and because for those that do, c</w:t>
      </w:r>
      <w:r w:rsidRPr="00195E90">
        <w:t>ontract rights, employer leave policies, or other reasonable accommodations wil</w:t>
      </w:r>
      <w:r>
        <w:t xml:space="preserve">l often address safety concerns. </w:t>
      </w:r>
      <w:r w:rsidR="00202BE0" w:rsidRPr="00195E90">
        <w:t xml:space="preserve"> </w:t>
      </w:r>
      <w:r w:rsidR="00677E1F" w:rsidRPr="00D93672">
        <w:t xml:space="preserve"> </w:t>
      </w:r>
      <w:r w:rsidR="007A01E6" w:rsidRPr="00D93672">
        <w:t xml:space="preserve"> </w:t>
      </w:r>
    </w:p>
    <w:p w14:paraId="275FDDC4" w14:textId="77777777" w:rsidR="00523E3D" w:rsidRPr="00D93672" w:rsidRDefault="00523E3D" w:rsidP="00D93672">
      <w:pPr>
        <w:pStyle w:val="ListParagraph"/>
        <w:jc w:val="both"/>
        <w:rPr>
          <w:b/>
        </w:rPr>
      </w:pPr>
    </w:p>
    <w:p w14:paraId="23CB6A5E" w14:textId="77777777" w:rsidR="001738B0" w:rsidRPr="00D93672" w:rsidRDefault="002E50AB" w:rsidP="00D93672">
      <w:pPr>
        <w:pStyle w:val="ListParagraph"/>
        <w:numPr>
          <w:ilvl w:val="0"/>
          <w:numId w:val="1"/>
        </w:numPr>
        <w:jc w:val="both"/>
        <w:rPr>
          <w:b/>
        </w:rPr>
      </w:pPr>
      <w:r w:rsidRPr="00D93672">
        <w:rPr>
          <w:b/>
        </w:rPr>
        <w:t>Worker’s n</w:t>
      </w:r>
      <w:r w:rsidR="001738B0" w:rsidRPr="00D93672">
        <w:rPr>
          <w:b/>
        </w:rPr>
        <w:t>eed for reasonable accommodations</w:t>
      </w:r>
    </w:p>
    <w:p w14:paraId="4DBC5A89" w14:textId="77777777" w:rsidR="00A30F12" w:rsidRPr="00D93672" w:rsidRDefault="00A30F12" w:rsidP="00D93672">
      <w:pPr>
        <w:pStyle w:val="ListParagraph"/>
        <w:numPr>
          <w:ilvl w:val="1"/>
          <w:numId w:val="1"/>
        </w:numPr>
        <w:jc w:val="both"/>
      </w:pPr>
      <w:r w:rsidRPr="00D93672">
        <w:rPr>
          <w:b/>
        </w:rPr>
        <w:t>Because of having COVID-19</w:t>
      </w:r>
      <w:r w:rsidRPr="00D93672">
        <w:t xml:space="preserve">—If the condition is an “actual” disability (or a “record of” disability), the employee is entitled to a reasonable </w:t>
      </w:r>
      <w:r w:rsidR="00821EFE" w:rsidRPr="00D93672">
        <w:t>accommodation if needed</w:t>
      </w:r>
      <w:r w:rsidR="00A74A8A">
        <w:t>. 42 U.S.C. § 12112(b)(5)(A).</w:t>
      </w:r>
      <w:r w:rsidR="00A74A8A">
        <w:rPr>
          <w:rStyle w:val="FootnoteReference"/>
        </w:rPr>
        <w:footnoteReference w:id="8"/>
      </w:r>
      <w:r w:rsidR="002F762F">
        <w:t xml:space="preserve"> The employee may also have leave rights under </w:t>
      </w:r>
      <w:r w:rsidR="00351305">
        <w:t>the FMLA, or under the pandemic-assistance statutes</w:t>
      </w:r>
      <w:r w:rsidR="002F762F">
        <w:t>.</w:t>
      </w:r>
    </w:p>
    <w:p w14:paraId="4DEA110F" w14:textId="77777777" w:rsidR="006B6B48" w:rsidRPr="006B6B48" w:rsidRDefault="002E50AB" w:rsidP="00426CC9">
      <w:pPr>
        <w:pStyle w:val="ListParagraph"/>
        <w:numPr>
          <w:ilvl w:val="1"/>
          <w:numId w:val="1"/>
        </w:numPr>
        <w:jc w:val="both"/>
      </w:pPr>
      <w:r w:rsidRPr="00D93672">
        <w:rPr>
          <w:b/>
        </w:rPr>
        <w:t xml:space="preserve">Because of </w:t>
      </w:r>
      <w:r w:rsidR="00A30F12" w:rsidRPr="00D93672">
        <w:rPr>
          <w:b/>
        </w:rPr>
        <w:t xml:space="preserve">another disability that creates a </w:t>
      </w:r>
      <w:r w:rsidRPr="00D93672">
        <w:rPr>
          <w:b/>
        </w:rPr>
        <w:t>heightened risk</w:t>
      </w:r>
    </w:p>
    <w:p w14:paraId="279D5DBE" w14:textId="77777777" w:rsidR="006B6B48" w:rsidRDefault="00FD36FA" w:rsidP="00D70150">
      <w:pPr>
        <w:pStyle w:val="ListParagraph"/>
        <w:numPr>
          <w:ilvl w:val="2"/>
          <w:numId w:val="1"/>
        </w:numPr>
        <w:jc w:val="both"/>
      </w:pPr>
      <w:r w:rsidRPr="00D93672">
        <w:t xml:space="preserve">If </w:t>
      </w:r>
      <w:r w:rsidR="002F4612">
        <w:t xml:space="preserve">an </w:t>
      </w:r>
      <w:r w:rsidRPr="00D93672">
        <w:t>employee disclose</w:t>
      </w:r>
      <w:r w:rsidR="002F4612">
        <w:t>s</w:t>
      </w:r>
      <w:r w:rsidR="00A30F12" w:rsidRPr="00D93672">
        <w:t xml:space="preserve"> </w:t>
      </w:r>
      <w:r w:rsidRPr="00D93672">
        <w:t>a</w:t>
      </w:r>
      <w:r w:rsidR="002F4612">
        <w:t>n underlying</w:t>
      </w:r>
      <w:r w:rsidR="00821EFE" w:rsidRPr="00D93672">
        <w:t xml:space="preserve"> </w:t>
      </w:r>
      <w:r w:rsidRPr="00D93672">
        <w:t xml:space="preserve">disability that puts </w:t>
      </w:r>
      <w:r w:rsidR="002F4612">
        <w:t>her</w:t>
      </w:r>
      <w:r w:rsidRPr="00D93672">
        <w:t xml:space="preserve"> at increased risk of complications</w:t>
      </w:r>
      <w:r w:rsidR="00A30F12" w:rsidRPr="00D93672">
        <w:t xml:space="preserve"> from COVID-19</w:t>
      </w:r>
      <w:r w:rsidRPr="00D93672">
        <w:t xml:space="preserve">, </w:t>
      </w:r>
      <w:r w:rsidR="002F4612">
        <w:t xml:space="preserve">and requests accommodation, she may be </w:t>
      </w:r>
      <w:r w:rsidR="00821EFE" w:rsidRPr="00D93672">
        <w:t xml:space="preserve">entitled to </w:t>
      </w:r>
      <w:r w:rsidR="002F4612">
        <w:t xml:space="preserve">one </w:t>
      </w:r>
      <w:r w:rsidR="00821EFE" w:rsidRPr="00D93672">
        <w:t>if needed.</w:t>
      </w:r>
      <w:r w:rsidR="00584E0E">
        <w:t xml:space="preserve"> </w:t>
      </w:r>
      <w:r w:rsidR="00584E0E" w:rsidRPr="005119CA">
        <w:rPr>
          <w:i/>
        </w:rPr>
        <w:t>EEOC Webinar</w:t>
      </w:r>
      <w:r w:rsidR="00584E0E">
        <w:t xml:space="preserve">, </w:t>
      </w:r>
      <w:r w:rsidR="00584E0E" w:rsidRPr="005119CA">
        <w:rPr>
          <w:i/>
        </w:rPr>
        <w:t>supra</w:t>
      </w:r>
      <w:r w:rsidR="00584E0E">
        <w:t>, Question 17</w:t>
      </w:r>
      <w:r w:rsidR="005119CA">
        <w:t xml:space="preserve">. See also </w:t>
      </w:r>
      <w:r w:rsidR="00206BD9" w:rsidRPr="00574524">
        <w:rPr>
          <w:i/>
        </w:rPr>
        <w:t>What You Should Know</w:t>
      </w:r>
      <w:r w:rsidR="00206BD9">
        <w:t xml:space="preserve">, </w:t>
      </w:r>
      <w:r w:rsidR="00206BD9" w:rsidRPr="00574524">
        <w:rPr>
          <w:i/>
        </w:rPr>
        <w:t>supra</w:t>
      </w:r>
      <w:r w:rsidR="00206BD9">
        <w:t xml:space="preserve">, Question G.3 (need for request); </w:t>
      </w:r>
      <w:r w:rsidR="002F762F" w:rsidRPr="001F0035">
        <w:rPr>
          <w:i/>
        </w:rPr>
        <w:t>EEOC’s Pandemic Preparedness</w:t>
      </w:r>
      <w:r w:rsidR="002F762F" w:rsidRPr="002F762F">
        <w:t xml:space="preserve">, </w:t>
      </w:r>
      <w:r w:rsidR="002F762F" w:rsidRPr="001F0035">
        <w:rPr>
          <w:i/>
        </w:rPr>
        <w:t>supra</w:t>
      </w:r>
      <w:r w:rsidR="002F762F" w:rsidRPr="002F762F">
        <w:t xml:space="preserve">, </w:t>
      </w:r>
      <w:r w:rsidR="002F762F">
        <w:t>§ II</w:t>
      </w:r>
      <w:r w:rsidR="00426CC9">
        <w:t>.C (“</w:t>
      </w:r>
      <w:r w:rsidR="00426CC9" w:rsidRPr="00426CC9">
        <w:t>Generally, the ADA requires employers to provide reasonable accommodations for known limitations of applicants and employees with disabilities</w:t>
      </w:r>
      <w:r w:rsidR="005119CA">
        <w:t xml:space="preserve">.”); </w:t>
      </w:r>
      <w:r w:rsidR="00426CC9" w:rsidRPr="001F0035">
        <w:rPr>
          <w:i/>
        </w:rPr>
        <w:t>id</w:t>
      </w:r>
      <w:r w:rsidR="00426CC9">
        <w:t>., § II</w:t>
      </w:r>
      <w:r w:rsidR="002F762F">
        <w:t xml:space="preserve"> (“</w:t>
      </w:r>
      <w:r w:rsidR="00426CC9" w:rsidRPr="00426CC9">
        <w:t>Third, the ADA requires reasonable accommodations for individuals with disabilities (absent undue hardship) during a pandemic.</w:t>
      </w:r>
      <w:r w:rsidR="002F762F">
        <w:t>”).</w:t>
      </w:r>
      <w:r w:rsidR="006B6B48" w:rsidRPr="006B6B48">
        <w:t xml:space="preserve"> </w:t>
      </w:r>
    </w:p>
    <w:p w14:paraId="5B220E13" w14:textId="77777777" w:rsidR="00FD36FA" w:rsidRPr="00D93672" w:rsidRDefault="00FA6D5A" w:rsidP="006B6B48">
      <w:pPr>
        <w:pStyle w:val="ListParagraph"/>
        <w:numPr>
          <w:ilvl w:val="2"/>
          <w:numId w:val="1"/>
        </w:numPr>
        <w:jc w:val="both"/>
      </w:pPr>
      <w:r w:rsidRPr="00D93672">
        <w:t>On the other hand, e</w:t>
      </w:r>
      <w:r w:rsidR="00FD36FA" w:rsidRPr="00D93672">
        <w:t>mployers should not assume that all disabilities increase the risk of complications</w:t>
      </w:r>
      <w:r w:rsidRPr="00D93672">
        <w:t>; many do not.</w:t>
      </w:r>
      <w:r w:rsidR="0027107E">
        <w:t xml:space="preserve"> </w:t>
      </w:r>
      <w:r w:rsidR="006B6B48" w:rsidRPr="002F762F">
        <w:rPr>
          <w:i/>
        </w:rPr>
        <w:t>EEOC’s Pandemic Preparedness</w:t>
      </w:r>
      <w:r w:rsidR="006B6B48" w:rsidRPr="002F762F">
        <w:t xml:space="preserve">, </w:t>
      </w:r>
      <w:r w:rsidR="006B6B48" w:rsidRPr="002F762F">
        <w:rPr>
          <w:i/>
        </w:rPr>
        <w:t>supra</w:t>
      </w:r>
      <w:r w:rsidR="006B6B48" w:rsidRPr="002F762F">
        <w:t xml:space="preserve">, </w:t>
      </w:r>
      <w:r w:rsidR="0027107E">
        <w:t>Question 9.</w:t>
      </w:r>
    </w:p>
    <w:p w14:paraId="4482D6C1" w14:textId="77777777" w:rsidR="00821EFE" w:rsidRPr="00D93672" w:rsidRDefault="00821EFE" w:rsidP="00574524">
      <w:pPr>
        <w:pStyle w:val="ListParagraph"/>
        <w:numPr>
          <w:ilvl w:val="1"/>
          <w:numId w:val="1"/>
        </w:numPr>
        <w:jc w:val="both"/>
        <w:rPr>
          <w:b/>
        </w:rPr>
      </w:pPr>
      <w:r w:rsidRPr="00D93672">
        <w:rPr>
          <w:b/>
        </w:rPr>
        <w:t>Because of exacerbation of mental-health conditions</w:t>
      </w:r>
      <w:r w:rsidRPr="00D93672">
        <w:t xml:space="preserve">—Some employees may be entitled to </w:t>
      </w:r>
      <w:r w:rsidR="00DC6A4C" w:rsidRPr="00D93672">
        <w:t xml:space="preserve">a </w:t>
      </w:r>
      <w:r w:rsidRPr="00D93672">
        <w:t>reasonable accommodation because the pandemic has exacerbated a psychiatric impairment</w:t>
      </w:r>
      <w:r w:rsidR="0027107E">
        <w:t xml:space="preserve">. </w:t>
      </w:r>
      <w:r w:rsidR="00574524" w:rsidRPr="00574524">
        <w:rPr>
          <w:i/>
        </w:rPr>
        <w:t>What You Should Know</w:t>
      </w:r>
      <w:r w:rsidR="00574524">
        <w:t xml:space="preserve">, </w:t>
      </w:r>
      <w:r w:rsidR="00574524" w:rsidRPr="00574524">
        <w:rPr>
          <w:i/>
        </w:rPr>
        <w:t>supra</w:t>
      </w:r>
      <w:r w:rsidR="00574524">
        <w:t>, Question D.2</w:t>
      </w:r>
      <w:r w:rsidR="0027107E">
        <w:t>.</w:t>
      </w:r>
    </w:p>
    <w:p w14:paraId="6A757A82" w14:textId="77777777" w:rsidR="002E50AB" w:rsidRPr="00D93672" w:rsidRDefault="002E50AB" w:rsidP="00D93672">
      <w:pPr>
        <w:pStyle w:val="ListParagraph"/>
        <w:numPr>
          <w:ilvl w:val="1"/>
          <w:numId w:val="1"/>
        </w:numPr>
        <w:jc w:val="both"/>
        <w:rPr>
          <w:b/>
        </w:rPr>
      </w:pPr>
      <w:r w:rsidRPr="00D93672">
        <w:rPr>
          <w:b/>
        </w:rPr>
        <w:lastRenderedPageBreak/>
        <w:t>Types of accommodations</w:t>
      </w:r>
    </w:p>
    <w:p w14:paraId="37E9C99C" w14:textId="77777777" w:rsidR="00845797" w:rsidRPr="00D93672" w:rsidRDefault="001738B0" w:rsidP="00D93672">
      <w:pPr>
        <w:pStyle w:val="ListParagraph"/>
        <w:numPr>
          <w:ilvl w:val="2"/>
          <w:numId w:val="1"/>
        </w:numPr>
        <w:jc w:val="both"/>
      </w:pPr>
      <w:r w:rsidRPr="00D93672">
        <w:t>Telework</w:t>
      </w:r>
    </w:p>
    <w:p w14:paraId="1EE82D3B" w14:textId="77777777" w:rsidR="00845797" w:rsidRPr="00D93672" w:rsidRDefault="00845797" w:rsidP="00D93672">
      <w:pPr>
        <w:pStyle w:val="ListParagraph"/>
        <w:numPr>
          <w:ilvl w:val="3"/>
          <w:numId w:val="1"/>
        </w:numPr>
        <w:jc w:val="both"/>
      </w:pPr>
      <w:r w:rsidRPr="00D93672">
        <w:t>Given the prevalence of this arrangement during the pandemic, it would seem reasonable in many cases, depending on the job and other factors</w:t>
      </w:r>
      <w:r w:rsidR="00BD698E">
        <w:t xml:space="preserve">. </w:t>
      </w:r>
      <w:r w:rsidR="007C3A40" w:rsidRPr="007C3A40">
        <w:rPr>
          <w:i/>
        </w:rPr>
        <w:t>See E</w:t>
      </w:r>
      <w:r w:rsidR="007C3A40" w:rsidRPr="002F762F">
        <w:rPr>
          <w:i/>
        </w:rPr>
        <w:t>EOC’s Pandemic Preparedness</w:t>
      </w:r>
      <w:r w:rsidR="007C3A40" w:rsidRPr="002F762F">
        <w:t xml:space="preserve">, </w:t>
      </w:r>
      <w:r w:rsidR="007C3A40" w:rsidRPr="002F762F">
        <w:rPr>
          <w:i/>
        </w:rPr>
        <w:t>supra</w:t>
      </w:r>
      <w:r w:rsidR="007C3A40" w:rsidRPr="002F762F">
        <w:t xml:space="preserve">, </w:t>
      </w:r>
      <w:r w:rsidR="00BD698E">
        <w:t>Question 10 and n.35.</w:t>
      </w:r>
    </w:p>
    <w:p w14:paraId="4C1BF5D1" w14:textId="77777777" w:rsidR="00F91490" w:rsidRDefault="00845797" w:rsidP="00D93672">
      <w:pPr>
        <w:pStyle w:val="ListParagraph"/>
        <w:numPr>
          <w:ilvl w:val="3"/>
          <w:numId w:val="1"/>
        </w:numPr>
        <w:jc w:val="both"/>
      </w:pPr>
      <w:r w:rsidRPr="00D93672">
        <w:t>W</w:t>
      </w:r>
      <w:r w:rsidR="00444FA0" w:rsidRPr="00D93672">
        <w:t>orkers with communication disabilities may need additional features to make teleworking successful, like a larger screen or screen-reader software for an employee with low vision</w:t>
      </w:r>
      <w:r w:rsidR="006D52BB" w:rsidRPr="00D93672">
        <w:t xml:space="preserve">, or video </w:t>
      </w:r>
      <w:r w:rsidR="00F91490" w:rsidRPr="00D93672">
        <w:t>relay</w:t>
      </w:r>
      <w:r w:rsidR="00C504EE">
        <w:t xml:space="preserve">, </w:t>
      </w:r>
      <w:r w:rsidR="006D52BB" w:rsidRPr="00D93672">
        <w:t>video-remote interpreting</w:t>
      </w:r>
      <w:r w:rsidR="00C504EE">
        <w:t>, or captioning</w:t>
      </w:r>
      <w:r w:rsidR="006D52BB" w:rsidRPr="00D93672">
        <w:t xml:space="preserve"> for employees </w:t>
      </w:r>
      <w:r w:rsidR="00C504EE">
        <w:t>who are deaf or hard of hearing</w:t>
      </w:r>
      <w:r w:rsidR="007C3A40">
        <w:t xml:space="preserve">. </w:t>
      </w:r>
      <w:r w:rsidR="007C3A40" w:rsidRPr="007C3A40">
        <w:rPr>
          <w:i/>
        </w:rPr>
        <w:t>Id</w:t>
      </w:r>
      <w:r w:rsidR="007C3A40">
        <w:t xml:space="preserve">., Question 14 </w:t>
      </w:r>
      <w:proofErr w:type="spellStart"/>
      <w:r w:rsidR="007C3A40">
        <w:t>Exs</w:t>
      </w:r>
      <w:proofErr w:type="spellEnd"/>
      <w:r w:rsidR="007C3A40">
        <w:t>. C and D.</w:t>
      </w:r>
    </w:p>
    <w:p w14:paraId="67B23468" w14:textId="77777777" w:rsidR="0084448B" w:rsidRPr="00D93672" w:rsidRDefault="0084448B" w:rsidP="00055926">
      <w:pPr>
        <w:pStyle w:val="ListParagraph"/>
        <w:numPr>
          <w:ilvl w:val="3"/>
          <w:numId w:val="1"/>
        </w:numPr>
        <w:jc w:val="both"/>
      </w:pPr>
      <w:r w:rsidRPr="0084448B">
        <w:t xml:space="preserve">When the employer decides to reopen for in-person business, it does not necessarily have to continue providing a telework option, although it may choose to do so, and may be required to in certain circumstances. </w:t>
      </w:r>
      <w:r>
        <w:t xml:space="preserve">A successful telework experience during the pandemic may show that continuing such an accommodation is both reasonable, and not an undue hardship. </w:t>
      </w:r>
      <w:r w:rsidRPr="0084448B">
        <w:rPr>
          <w:i/>
        </w:rPr>
        <w:t xml:space="preserve">See </w:t>
      </w:r>
      <w:r w:rsidRPr="005119CA">
        <w:rPr>
          <w:i/>
        </w:rPr>
        <w:t>EEOC Webinar</w:t>
      </w:r>
      <w:r>
        <w:t xml:space="preserve">, </w:t>
      </w:r>
      <w:r w:rsidRPr="005119CA">
        <w:rPr>
          <w:i/>
        </w:rPr>
        <w:t>supra</w:t>
      </w:r>
      <w:r>
        <w:t>, Questions 21–22.</w:t>
      </w:r>
    </w:p>
    <w:p w14:paraId="3A915FAF" w14:textId="77777777" w:rsidR="006D52BB" w:rsidRPr="00D93672" w:rsidRDefault="001738B0" w:rsidP="00D93672">
      <w:pPr>
        <w:pStyle w:val="ListParagraph"/>
        <w:keepNext/>
        <w:numPr>
          <w:ilvl w:val="2"/>
          <w:numId w:val="1"/>
        </w:numPr>
        <w:jc w:val="both"/>
      </w:pPr>
      <w:r w:rsidRPr="00D93672">
        <w:t>Leave</w:t>
      </w:r>
    </w:p>
    <w:p w14:paraId="7610979C" w14:textId="77777777" w:rsidR="009C7288" w:rsidRDefault="009C7288" w:rsidP="00D93672">
      <w:pPr>
        <w:pStyle w:val="ListParagraph"/>
        <w:keepNext/>
        <w:numPr>
          <w:ilvl w:val="3"/>
          <w:numId w:val="1"/>
        </w:numPr>
        <w:jc w:val="both"/>
      </w:pPr>
      <w:r>
        <w:t xml:space="preserve">Almost all courts recognize medical leave as a reasonable accommodation so long as the leave is not indefinite </w:t>
      </w:r>
    </w:p>
    <w:p w14:paraId="7595301C" w14:textId="77777777" w:rsidR="006D52BB" w:rsidRPr="00D93672" w:rsidRDefault="006D52BB" w:rsidP="00D93672">
      <w:pPr>
        <w:pStyle w:val="ListParagraph"/>
        <w:keepNext/>
        <w:numPr>
          <w:ilvl w:val="3"/>
          <w:numId w:val="1"/>
        </w:numPr>
        <w:jc w:val="both"/>
      </w:pPr>
      <w:r w:rsidRPr="00D93672">
        <w:t xml:space="preserve">Because of the short duration of COVID-19, a period of leave for one with the diagnosis is normally reasonable. </w:t>
      </w:r>
    </w:p>
    <w:p w14:paraId="7763867F" w14:textId="77777777" w:rsidR="001738B0" w:rsidRPr="00D93672" w:rsidRDefault="006D52BB" w:rsidP="00D93672">
      <w:pPr>
        <w:pStyle w:val="ListParagraph"/>
        <w:numPr>
          <w:ilvl w:val="3"/>
          <w:numId w:val="1"/>
        </w:numPr>
        <w:jc w:val="both"/>
      </w:pPr>
      <w:r w:rsidRPr="00D93672">
        <w:t xml:space="preserve">Leave can be unpaid unless </w:t>
      </w:r>
      <w:r w:rsidR="00626B5F" w:rsidRPr="00D93672">
        <w:t>a contract</w:t>
      </w:r>
      <w:r w:rsidR="00B32B19">
        <w:t xml:space="preserve">, </w:t>
      </w:r>
      <w:r w:rsidRPr="00D93672">
        <w:t>company policy</w:t>
      </w:r>
      <w:r w:rsidR="00B32B19">
        <w:t xml:space="preserve">, or pandemic-relief statute </w:t>
      </w:r>
      <w:r w:rsidRPr="00D93672">
        <w:t>makes paid leave available.</w:t>
      </w:r>
      <w:r w:rsidR="00CE13FE">
        <w:t xml:space="preserve"> But unpaid leave may be unreasonable if there is another reasonable accommodation that would allow the individual to continue working.</w:t>
      </w:r>
    </w:p>
    <w:p w14:paraId="402BBEBB" w14:textId="77777777" w:rsidR="00845797" w:rsidRPr="00D93672" w:rsidRDefault="00845797" w:rsidP="00D93672">
      <w:pPr>
        <w:pStyle w:val="ListParagraph"/>
        <w:numPr>
          <w:ilvl w:val="3"/>
          <w:numId w:val="1"/>
        </w:numPr>
        <w:jc w:val="both"/>
      </w:pPr>
      <w:r w:rsidRPr="00D93672">
        <w:t>Longer leave—for example, to avoid exposure due to an underlying disability that heightens the risk—may be reasonable depending on the details</w:t>
      </w:r>
    </w:p>
    <w:p w14:paraId="6940EADE" w14:textId="77777777" w:rsidR="00284B40" w:rsidRPr="00D93672" w:rsidRDefault="00B32B19" w:rsidP="00D93672">
      <w:pPr>
        <w:pStyle w:val="ListParagraph"/>
        <w:numPr>
          <w:ilvl w:val="2"/>
          <w:numId w:val="1"/>
        </w:numPr>
        <w:jc w:val="both"/>
      </w:pPr>
      <w:r>
        <w:t>PPEs</w:t>
      </w:r>
      <w:r w:rsidR="00C27300">
        <w:t>—</w:t>
      </w:r>
      <w:r>
        <w:t>m</w:t>
      </w:r>
      <w:r w:rsidR="00284B40" w:rsidRPr="00D93672">
        <w:t>ask</w:t>
      </w:r>
      <w:r>
        <w:t xml:space="preserve">, </w:t>
      </w:r>
      <w:r w:rsidR="00284B40" w:rsidRPr="00D93672">
        <w:t>respirator</w:t>
      </w:r>
      <w:r>
        <w:t xml:space="preserve">, </w:t>
      </w:r>
      <w:r w:rsidR="00C27300">
        <w:t>etc.</w:t>
      </w:r>
    </w:p>
    <w:p w14:paraId="7A7F25CE" w14:textId="77777777" w:rsidR="00845797" w:rsidRPr="00D93672" w:rsidRDefault="00C27300" w:rsidP="00052022">
      <w:pPr>
        <w:pStyle w:val="ListParagraph"/>
        <w:numPr>
          <w:ilvl w:val="2"/>
          <w:numId w:val="1"/>
        </w:numPr>
        <w:jc w:val="both"/>
      </w:pPr>
      <w:r>
        <w:t>Othe</w:t>
      </w:r>
      <w:r w:rsidR="001470A3">
        <w:t>r thing</w:t>
      </w:r>
      <w:r>
        <w:t>s—s</w:t>
      </w:r>
      <w:r w:rsidR="00D754E6">
        <w:t>eparation, i</w:t>
      </w:r>
      <w:r w:rsidR="00284B40" w:rsidRPr="00D93672">
        <w:t>solation</w:t>
      </w:r>
      <w:r w:rsidR="00D754E6">
        <w:t xml:space="preserve">, </w:t>
      </w:r>
      <w:r w:rsidR="00673397">
        <w:t xml:space="preserve">avoiding contact with the public, </w:t>
      </w:r>
      <w:r w:rsidR="000D094F" w:rsidRPr="000D094F">
        <w:t xml:space="preserve">barriers, </w:t>
      </w:r>
      <w:r>
        <w:t xml:space="preserve">ventilation, filtration, </w:t>
      </w:r>
      <w:r w:rsidR="00EE40F1">
        <w:t>hygiene</w:t>
      </w:r>
      <w:r w:rsidR="00B2257B">
        <w:t xml:space="preserve"> requirements and products</w:t>
      </w:r>
      <w:r w:rsidR="00EE40F1">
        <w:t xml:space="preserve">, </w:t>
      </w:r>
      <w:r w:rsidRPr="00C27300">
        <w:t xml:space="preserve">cleaning, </w:t>
      </w:r>
      <w:r w:rsidR="000D094F">
        <w:t>disinfecting</w:t>
      </w:r>
      <w:r w:rsidRPr="00C27300">
        <w:t>, etc.</w:t>
      </w:r>
      <w:r w:rsidR="000F1865">
        <w:t xml:space="preserve"> </w:t>
      </w:r>
      <w:r w:rsidR="000F1865" w:rsidRPr="00D253DD">
        <w:rPr>
          <w:i/>
        </w:rPr>
        <w:t>See, e.g.</w:t>
      </w:r>
      <w:r w:rsidR="000F1865" w:rsidRPr="000F1865">
        <w:t>,</w:t>
      </w:r>
      <w:r w:rsidR="000F1865" w:rsidRPr="00D253DD">
        <w:rPr>
          <w:i/>
        </w:rPr>
        <w:t xml:space="preserve"> </w:t>
      </w:r>
      <w:r w:rsidR="002E3AA5" w:rsidRPr="002F762F">
        <w:rPr>
          <w:i/>
        </w:rPr>
        <w:t>EEOC’s Pandemic Preparedness</w:t>
      </w:r>
      <w:r w:rsidR="002E3AA5" w:rsidRPr="002F762F">
        <w:t xml:space="preserve">, </w:t>
      </w:r>
      <w:r w:rsidR="002E3AA5" w:rsidRPr="002F762F">
        <w:rPr>
          <w:i/>
        </w:rPr>
        <w:t>supra</w:t>
      </w:r>
      <w:r w:rsidR="002E3AA5" w:rsidRPr="002F762F">
        <w:t xml:space="preserve">, </w:t>
      </w:r>
      <w:r w:rsidR="000F1865" w:rsidRPr="000F1865">
        <w:t>n.35</w:t>
      </w:r>
      <w:r w:rsidR="000D094F">
        <w:t xml:space="preserve">; </w:t>
      </w:r>
      <w:r w:rsidR="00052022" w:rsidRPr="00052022">
        <w:rPr>
          <w:i/>
        </w:rPr>
        <w:t>What You Should Know</w:t>
      </w:r>
      <w:r w:rsidR="00052022">
        <w:t xml:space="preserve">, </w:t>
      </w:r>
      <w:r w:rsidR="00052022" w:rsidRPr="00052022">
        <w:rPr>
          <w:i/>
        </w:rPr>
        <w:t>supra</w:t>
      </w:r>
      <w:r w:rsidR="00052022">
        <w:t>, Question</w:t>
      </w:r>
      <w:r w:rsidR="00E92AC1">
        <w:t>s</w:t>
      </w:r>
      <w:r w:rsidR="00052022">
        <w:t xml:space="preserve"> D.1</w:t>
      </w:r>
      <w:r w:rsidR="00E92AC1">
        <w:t xml:space="preserve"> and G.5</w:t>
      </w:r>
      <w:r w:rsidR="00052022">
        <w:t xml:space="preserve">; </w:t>
      </w:r>
      <w:r w:rsidR="000D094F" w:rsidRPr="00D253DD">
        <w:rPr>
          <w:i/>
        </w:rPr>
        <w:t>Coronavirus Disease 2019 (COVID-19) Response</w:t>
      </w:r>
      <w:r w:rsidR="000D094F">
        <w:t xml:space="preserve"> (CDC May 2020)</w:t>
      </w:r>
      <w:r w:rsidR="00673397">
        <w:t>;</w:t>
      </w:r>
      <w:r w:rsidR="000D094F">
        <w:rPr>
          <w:rStyle w:val="FootnoteReference"/>
        </w:rPr>
        <w:footnoteReference w:id="9"/>
      </w:r>
      <w:r w:rsidR="00673397">
        <w:t xml:space="preserve"> </w:t>
      </w:r>
      <w:r w:rsidR="00673397" w:rsidRPr="00D253DD">
        <w:rPr>
          <w:i/>
        </w:rPr>
        <w:t>Interim Guidance for Businesses and Employers Responding to Coronavirus Disease 2019 (COVID-19)</w:t>
      </w:r>
      <w:r w:rsidR="00673397">
        <w:t xml:space="preserve"> (CDC</w:t>
      </w:r>
      <w:r w:rsidR="00673397" w:rsidRPr="00673397">
        <w:t xml:space="preserve"> May 2020</w:t>
      </w:r>
      <w:r w:rsidR="00673397">
        <w:t>)</w:t>
      </w:r>
      <w:r w:rsidR="00D253DD">
        <w:t>;</w:t>
      </w:r>
      <w:r w:rsidR="00673397">
        <w:rPr>
          <w:rStyle w:val="FootnoteReference"/>
        </w:rPr>
        <w:footnoteReference w:id="10"/>
      </w:r>
      <w:r w:rsidR="00D253DD">
        <w:t xml:space="preserve"> </w:t>
      </w:r>
      <w:r w:rsidR="00D253DD" w:rsidRPr="00984C39">
        <w:rPr>
          <w:i/>
        </w:rPr>
        <w:t>Guidance on Preparing Workplaces for COVID-19</w:t>
      </w:r>
      <w:r w:rsidR="00D253DD">
        <w:t xml:space="preserve"> (OSHA </w:t>
      </w:r>
      <w:r w:rsidR="00F95B02">
        <w:t>Mar. 2020).</w:t>
      </w:r>
      <w:r w:rsidR="00F95B02">
        <w:rPr>
          <w:rStyle w:val="FootnoteReference"/>
        </w:rPr>
        <w:footnoteReference w:id="11"/>
      </w:r>
    </w:p>
    <w:p w14:paraId="7ADA43E6" w14:textId="77777777" w:rsidR="00821EFE" w:rsidRPr="00D93672" w:rsidRDefault="00845797" w:rsidP="00507DA9">
      <w:pPr>
        <w:pStyle w:val="ListParagraph"/>
        <w:numPr>
          <w:ilvl w:val="1"/>
          <w:numId w:val="1"/>
        </w:numPr>
        <w:jc w:val="both"/>
        <w:rPr>
          <w:b/>
        </w:rPr>
      </w:pPr>
      <w:r w:rsidRPr="00D93672">
        <w:rPr>
          <w:b/>
        </w:rPr>
        <w:t>U</w:t>
      </w:r>
      <w:r w:rsidR="00821EFE" w:rsidRPr="00D93672">
        <w:rPr>
          <w:b/>
        </w:rPr>
        <w:t>ndue hardship</w:t>
      </w:r>
      <w:r w:rsidR="00A16CE5" w:rsidRPr="00D93672">
        <w:t>—</w:t>
      </w:r>
      <w:r w:rsidR="0010278B" w:rsidRPr="00D93672">
        <w:t>T</w:t>
      </w:r>
      <w:r w:rsidR="00A16CE5" w:rsidRPr="00D93672">
        <w:t xml:space="preserve">his is the statutory defense to accommodation, and </w:t>
      </w:r>
      <w:r w:rsidR="004530FF">
        <w:t xml:space="preserve">although </w:t>
      </w:r>
      <w:r w:rsidR="00A16CE5" w:rsidRPr="00D93672">
        <w:t xml:space="preserve">it </w:t>
      </w:r>
      <w:r w:rsidR="004530FF">
        <w:t>is un</w:t>
      </w:r>
      <w:r w:rsidR="00A16CE5" w:rsidRPr="00D93672">
        <w:t xml:space="preserve">likely </w:t>
      </w:r>
      <w:r w:rsidR="004530FF">
        <w:t>to a</w:t>
      </w:r>
      <w:r w:rsidR="00A16CE5" w:rsidRPr="00D93672">
        <w:t xml:space="preserve">pply </w:t>
      </w:r>
      <w:r w:rsidR="004530FF">
        <w:t>in</w:t>
      </w:r>
      <w:r w:rsidR="00A16CE5" w:rsidRPr="00D93672">
        <w:t xml:space="preserve"> many cases, </w:t>
      </w:r>
      <w:r w:rsidR="004530FF">
        <w:t>it</w:t>
      </w:r>
      <w:r w:rsidR="00A16CE5" w:rsidRPr="00D93672">
        <w:t xml:space="preserve"> may in certain </w:t>
      </w:r>
      <w:r w:rsidR="009C7288">
        <w:t>situations.</w:t>
      </w:r>
      <w:r w:rsidR="00A16CE5" w:rsidRPr="00D93672">
        <w:t xml:space="preserve"> </w:t>
      </w:r>
      <w:r w:rsidR="00507DA9" w:rsidRPr="00507DA9">
        <w:t xml:space="preserve">42 U.S.C. § </w:t>
      </w:r>
      <w:r w:rsidR="00507DA9" w:rsidRPr="00507DA9">
        <w:lastRenderedPageBreak/>
        <w:t>12112(b)(5)</w:t>
      </w:r>
      <w:r w:rsidR="00507DA9">
        <w:t xml:space="preserve">, </w:t>
      </w:r>
      <w:r w:rsidR="00507DA9" w:rsidRPr="00507DA9">
        <w:t>§ 12111(</w:t>
      </w:r>
      <w:r w:rsidR="00507DA9">
        <w:t>10</w:t>
      </w:r>
      <w:r w:rsidR="00507DA9" w:rsidRPr="00507DA9">
        <w:t>)</w:t>
      </w:r>
      <w:r w:rsidR="00507DA9">
        <w:t xml:space="preserve">. </w:t>
      </w:r>
      <w:r w:rsidR="00507DA9" w:rsidRPr="00507DA9">
        <w:rPr>
          <w:i/>
        </w:rPr>
        <w:t>See</w:t>
      </w:r>
      <w:r w:rsidR="00507DA9">
        <w:t xml:space="preserve"> </w:t>
      </w:r>
      <w:r w:rsidR="00507DA9" w:rsidRPr="00507DA9">
        <w:rPr>
          <w:i/>
        </w:rPr>
        <w:t>also</w:t>
      </w:r>
      <w:r w:rsidR="00507DA9">
        <w:t xml:space="preserve"> </w:t>
      </w:r>
      <w:r w:rsidR="00507DA9" w:rsidRPr="002F762F">
        <w:rPr>
          <w:i/>
        </w:rPr>
        <w:t>EEOC’s Pandemic Preparedness</w:t>
      </w:r>
      <w:r w:rsidR="00507DA9" w:rsidRPr="002F762F">
        <w:t xml:space="preserve">, </w:t>
      </w:r>
      <w:r w:rsidR="00507DA9" w:rsidRPr="002F762F">
        <w:rPr>
          <w:i/>
        </w:rPr>
        <w:t>supra</w:t>
      </w:r>
      <w:r w:rsidR="00507DA9" w:rsidRPr="002F762F">
        <w:t xml:space="preserve">, </w:t>
      </w:r>
      <w:r w:rsidR="00507DA9">
        <w:t>§ II.C</w:t>
      </w:r>
      <w:r w:rsidR="00CC3C9A">
        <w:t xml:space="preserve">; </w:t>
      </w:r>
      <w:r w:rsidR="00CC3C9A" w:rsidRPr="00CC3C9A">
        <w:rPr>
          <w:i/>
        </w:rPr>
        <w:t>What You Should Know</w:t>
      </w:r>
      <w:r w:rsidR="00CC3C9A">
        <w:t xml:space="preserve">, </w:t>
      </w:r>
      <w:r w:rsidR="00CC3C9A" w:rsidRPr="00CC3C9A">
        <w:rPr>
          <w:i/>
        </w:rPr>
        <w:t>supra</w:t>
      </w:r>
      <w:r w:rsidR="00CC3C9A">
        <w:t>, Questions D.9–11</w:t>
      </w:r>
      <w:r w:rsidR="00507DA9">
        <w:t>.</w:t>
      </w:r>
    </w:p>
    <w:p w14:paraId="226BB655" w14:textId="77777777" w:rsidR="00D754E6" w:rsidRPr="00D754E6" w:rsidRDefault="00D754E6" w:rsidP="00D93672">
      <w:pPr>
        <w:pStyle w:val="ListParagraph"/>
        <w:numPr>
          <w:ilvl w:val="1"/>
          <w:numId w:val="1"/>
        </w:numPr>
        <w:jc w:val="both"/>
        <w:rPr>
          <w:b/>
        </w:rPr>
      </w:pPr>
      <w:r>
        <w:rPr>
          <w:b/>
        </w:rPr>
        <w:t>Direct threat</w:t>
      </w:r>
      <w:r w:rsidRPr="00D754E6">
        <w:t>—This may be a defense</w:t>
      </w:r>
      <w:r>
        <w:t xml:space="preserve"> in certain cases</w:t>
      </w:r>
    </w:p>
    <w:p w14:paraId="193EA463" w14:textId="77777777" w:rsidR="00D754E6" w:rsidRPr="00AD6031" w:rsidRDefault="00D754E6" w:rsidP="00AD6031">
      <w:pPr>
        <w:pStyle w:val="ListParagraph"/>
        <w:numPr>
          <w:ilvl w:val="2"/>
          <w:numId w:val="1"/>
        </w:numPr>
        <w:jc w:val="both"/>
      </w:pPr>
      <w:r>
        <w:t xml:space="preserve">COVID-19 </w:t>
      </w:r>
      <w:r w:rsidR="005D7728">
        <w:t xml:space="preserve">poses a direct </w:t>
      </w:r>
      <w:r>
        <w:t>threat to others in the workplace</w:t>
      </w:r>
      <w:r w:rsidR="00AD6031">
        <w:t xml:space="preserve">. </w:t>
      </w:r>
      <w:r w:rsidR="00BE497A">
        <w:t xml:space="preserve">EEOC’s </w:t>
      </w:r>
      <w:r w:rsidR="00AD6031" w:rsidRPr="00AD6031">
        <w:rPr>
          <w:i/>
        </w:rPr>
        <w:t>Pandemic Preparedness</w:t>
      </w:r>
      <w:r w:rsidR="00BE497A">
        <w:rPr>
          <w:i/>
        </w:rPr>
        <w:t xml:space="preserve">, </w:t>
      </w:r>
      <w:r w:rsidR="00AD6031" w:rsidRPr="00AD6031">
        <w:t>§ II.B</w:t>
      </w:r>
      <w:r w:rsidR="00BE497A">
        <w:t xml:space="preserve"> (</w:t>
      </w:r>
      <w:r w:rsidR="00AD6031">
        <w:t>“</w:t>
      </w:r>
      <w:r w:rsidR="00AD6031" w:rsidRPr="00AD6031">
        <w:t>Based on guidance of the CDC and public health authorities as of March 2020, the COVID-19 pandemic meets the direct threat standard.</w:t>
      </w:r>
      <w:r w:rsidR="00AD6031">
        <w:t>”).</w:t>
      </w:r>
    </w:p>
    <w:p w14:paraId="133524B6" w14:textId="77777777" w:rsidR="003178A1" w:rsidRPr="003178A1" w:rsidRDefault="00D754E6" w:rsidP="00E44EE4">
      <w:pPr>
        <w:pStyle w:val="ListParagraph"/>
        <w:numPr>
          <w:ilvl w:val="2"/>
          <w:numId w:val="1"/>
        </w:numPr>
        <w:jc w:val="both"/>
        <w:rPr>
          <w:b/>
        </w:rPr>
      </w:pPr>
      <w:r>
        <w:t xml:space="preserve">It </w:t>
      </w:r>
      <w:r w:rsidR="001F0035">
        <w:t>may</w:t>
      </w:r>
      <w:r>
        <w:t xml:space="preserve"> be much </w:t>
      </w:r>
      <w:r w:rsidR="001470A3">
        <w:t>more</w:t>
      </w:r>
      <w:r>
        <w:t xml:space="preserve"> difficult for an employer to show that an individual poses a direct threat to her/himself based on the risks from an underlying condition.</w:t>
      </w:r>
      <w:r w:rsidR="00E44EE4" w:rsidRPr="00E44EE4">
        <w:t xml:space="preserve"> </w:t>
      </w:r>
    </w:p>
    <w:p w14:paraId="78CE1D2D" w14:textId="77777777" w:rsidR="00D754E6" w:rsidRDefault="00E44EE4" w:rsidP="00E44EE4">
      <w:pPr>
        <w:pStyle w:val="ListParagraph"/>
        <w:numPr>
          <w:ilvl w:val="2"/>
          <w:numId w:val="1"/>
        </w:numPr>
        <w:jc w:val="both"/>
        <w:rPr>
          <w:b/>
        </w:rPr>
      </w:pPr>
      <w:r w:rsidRPr="00E44EE4">
        <w:t xml:space="preserve">Even if </w:t>
      </w:r>
      <w:r>
        <w:t xml:space="preserve">the </w:t>
      </w:r>
      <w:r w:rsidRPr="00E44EE4">
        <w:t xml:space="preserve">disability </w:t>
      </w:r>
      <w:r w:rsidRPr="00E44EE4">
        <w:rPr>
          <w:i/>
        </w:rPr>
        <w:t>does</w:t>
      </w:r>
      <w:r>
        <w:t xml:space="preserve"> </w:t>
      </w:r>
      <w:r w:rsidRPr="00E44EE4">
        <w:t>pose a direct threat</w:t>
      </w:r>
      <w:r>
        <w:t xml:space="preserve">, </w:t>
      </w:r>
      <w:r w:rsidRPr="00E44EE4">
        <w:t>the employer still cannot exclude the employee</w:t>
      </w:r>
      <w:r>
        <w:t xml:space="preserve">, </w:t>
      </w:r>
      <w:r w:rsidRPr="00E44EE4">
        <w:t>or take any other adverse action</w:t>
      </w:r>
      <w:r>
        <w:t xml:space="preserve">, </w:t>
      </w:r>
      <w:r w:rsidRPr="00E44EE4">
        <w:t xml:space="preserve">unless there is no way to provide a reasonable accommodation (absent undue hardship).  </w:t>
      </w:r>
      <w:r w:rsidR="001F0035">
        <w:t xml:space="preserve"> </w:t>
      </w:r>
      <w:r w:rsidR="001F0035" w:rsidRPr="001F0035">
        <w:rPr>
          <w:i/>
        </w:rPr>
        <w:t>What You Should Know</w:t>
      </w:r>
      <w:r w:rsidR="001F0035">
        <w:t xml:space="preserve">, </w:t>
      </w:r>
      <w:r w:rsidR="001F0035" w:rsidRPr="001F0035">
        <w:rPr>
          <w:i/>
        </w:rPr>
        <w:t>supra</w:t>
      </w:r>
      <w:r w:rsidR="001F0035">
        <w:t>, Question</w:t>
      </w:r>
      <w:r w:rsidR="00D30528">
        <w:t>s</w:t>
      </w:r>
      <w:r w:rsidR="001F0035">
        <w:t xml:space="preserve"> G.</w:t>
      </w:r>
      <w:r w:rsidR="00D30528">
        <w:t>3–G.5</w:t>
      </w:r>
      <w:r w:rsidR="001F0035">
        <w:t>.</w:t>
      </w:r>
    </w:p>
    <w:p w14:paraId="164236FE" w14:textId="77777777" w:rsidR="00DC6A4C" w:rsidRPr="00D93672" w:rsidRDefault="00136348" w:rsidP="00554683">
      <w:pPr>
        <w:pStyle w:val="ListParagraph"/>
        <w:numPr>
          <w:ilvl w:val="1"/>
          <w:numId w:val="1"/>
        </w:numPr>
        <w:jc w:val="both"/>
        <w:rPr>
          <w:b/>
        </w:rPr>
      </w:pPr>
      <w:r w:rsidRPr="00D93672">
        <w:rPr>
          <w:b/>
        </w:rPr>
        <w:t>C</w:t>
      </w:r>
      <w:r w:rsidR="00DC6A4C" w:rsidRPr="00D93672">
        <w:rPr>
          <w:b/>
        </w:rPr>
        <w:t>onfidential</w:t>
      </w:r>
      <w:r w:rsidRPr="00D93672">
        <w:rPr>
          <w:b/>
        </w:rPr>
        <w:t>ity</w:t>
      </w:r>
      <w:r w:rsidRPr="00D93672">
        <w:t>—</w:t>
      </w:r>
      <w:r w:rsidR="0010278B" w:rsidRPr="00D93672">
        <w:t>T</w:t>
      </w:r>
      <w:r w:rsidR="00DC6A4C" w:rsidRPr="00D93672">
        <w:t>he employer m</w:t>
      </w:r>
      <w:r w:rsidRPr="00D93672">
        <w:t>ust keep confidential the information about the disability disclosed during the accommodation process</w:t>
      </w:r>
      <w:r w:rsidR="0010278B" w:rsidRPr="00D93672">
        <w:t>, limiting the information to those with a need to know. The worker may want to remind the employer of its privacy obligations</w:t>
      </w:r>
      <w:r w:rsidR="00C431E6">
        <w:t xml:space="preserve">. </w:t>
      </w:r>
      <w:r w:rsidR="00C431E6" w:rsidRPr="00C431E6">
        <w:rPr>
          <w:i/>
        </w:rPr>
        <w:t>EEOC’s Pandemic Preparedness</w:t>
      </w:r>
      <w:r w:rsidR="00C431E6" w:rsidRPr="00C431E6">
        <w:t xml:space="preserve">, </w:t>
      </w:r>
      <w:r w:rsidR="00C431E6" w:rsidRPr="00C431E6">
        <w:rPr>
          <w:i/>
        </w:rPr>
        <w:t>supra</w:t>
      </w:r>
      <w:r w:rsidR="00C431E6" w:rsidRPr="00C431E6">
        <w:t>, § II.</w:t>
      </w:r>
      <w:r w:rsidR="00C431E6">
        <w:t>A.2</w:t>
      </w:r>
      <w:r w:rsidR="00E762B4">
        <w:t xml:space="preserve">; </w:t>
      </w:r>
      <w:r w:rsidR="00E762B4" w:rsidRPr="00E762B4">
        <w:rPr>
          <w:i/>
        </w:rPr>
        <w:t>id</w:t>
      </w:r>
      <w:r w:rsidR="00E762B4">
        <w:t>. at Question</w:t>
      </w:r>
      <w:r w:rsidR="00260086">
        <w:t>s</w:t>
      </w:r>
      <w:r w:rsidR="00E762B4">
        <w:t xml:space="preserve"> 6</w:t>
      </w:r>
      <w:r w:rsidR="00260086">
        <w:t>, 7, 9, and n.19</w:t>
      </w:r>
      <w:r w:rsidR="00554683">
        <w:t>;</w:t>
      </w:r>
      <w:r w:rsidR="00554683" w:rsidRPr="00554683">
        <w:t xml:space="preserve"> </w:t>
      </w:r>
      <w:r w:rsidR="00554683" w:rsidRPr="00554683">
        <w:rPr>
          <w:i/>
        </w:rPr>
        <w:t>What You Should Know</w:t>
      </w:r>
      <w:r w:rsidR="00554683">
        <w:t xml:space="preserve">, </w:t>
      </w:r>
      <w:r w:rsidR="00554683" w:rsidRPr="00554683">
        <w:rPr>
          <w:i/>
        </w:rPr>
        <w:t>supra</w:t>
      </w:r>
      <w:r w:rsidR="00554683">
        <w:t>, Question B.1</w:t>
      </w:r>
    </w:p>
    <w:p w14:paraId="05447AA1" w14:textId="77777777" w:rsidR="00DC6A4C" w:rsidRPr="001C17FE" w:rsidRDefault="00136348" w:rsidP="006173FF">
      <w:pPr>
        <w:pStyle w:val="ListParagraph"/>
        <w:numPr>
          <w:ilvl w:val="1"/>
          <w:numId w:val="1"/>
        </w:numPr>
        <w:jc w:val="both"/>
        <w:rPr>
          <w:b/>
        </w:rPr>
      </w:pPr>
      <w:r w:rsidRPr="001C17FE">
        <w:rPr>
          <w:b/>
        </w:rPr>
        <w:t>Retaliation</w:t>
      </w:r>
      <w:r w:rsidRPr="00D93672">
        <w:t>—Requesting an accommodation is protected activity for retaliation</w:t>
      </w:r>
      <w:r w:rsidR="00244BB9">
        <w:t xml:space="preserve"> or interference </w:t>
      </w:r>
      <w:r w:rsidRPr="00D93672">
        <w:t>claims</w:t>
      </w:r>
      <w:r w:rsidR="00244BB9">
        <w:t xml:space="preserve"> brought under 42 U.S.C. § 12203</w:t>
      </w:r>
      <w:r w:rsidR="00B0419B">
        <w:t>.</w:t>
      </w:r>
      <w:r w:rsidR="001C17FE">
        <w:t xml:space="preserve"> </w:t>
      </w:r>
      <w:r w:rsidR="001C17FE" w:rsidRPr="001C17FE">
        <w:rPr>
          <w:i/>
        </w:rPr>
        <w:t>Solomon v. Vilsack</w:t>
      </w:r>
      <w:r w:rsidR="001C17FE">
        <w:t>, 763 F.3d 1, 15 and n.6 (D.C. Cir. 2014) (collecting cases)</w:t>
      </w:r>
      <w:r w:rsidR="00244BB9">
        <w:t>.</w:t>
      </w:r>
    </w:p>
    <w:p w14:paraId="2F21297D" w14:textId="77777777" w:rsidR="001339E2" w:rsidRDefault="000700A8" w:rsidP="00D93672">
      <w:pPr>
        <w:pStyle w:val="ListParagraph"/>
        <w:numPr>
          <w:ilvl w:val="1"/>
          <w:numId w:val="1"/>
        </w:numPr>
        <w:jc w:val="both"/>
        <w:rPr>
          <w:b/>
        </w:rPr>
      </w:pPr>
      <w:r w:rsidRPr="00D93672">
        <w:rPr>
          <w:b/>
        </w:rPr>
        <w:t>Needs related to caring for family members</w:t>
      </w:r>
    </w:p>
    <w:p w14:paraId="26416053" w14:textId="77777777" w:rsidR="001339E2" w:rsidRPr="001339E2" w:rsidRDefault="00136348" w:rsidP="001C17FE">
      <w:pPr>
        <w:pStyle w:val="ListParagraph"/>
        <w:numPr>
          <w:ilvl w:val="2"/>
          <w:numId w:val="1"/>
        </w:numPr>
        <w:jc w:val="both"/>
        <w:rPr>
          <w:b/>
        </w:rPr>
      </w:pPr>
      <w:r w:rsidRPr="00D93672">
        <w:t xml:space="preserve">The ADA does </w:t>
      </w:r>
      <w:r w:rsidRPr="00D93672">
        <w:rPr>
          <w:i/>
        </w:rPr>
        <w:t>not</w:t>
      </w:r>
      <w:r w:rsidRPr="00D93672">
        <w:t xml:space="preserve"> require an employer to provide reasonable accommodations (e.g., leave) to allow an employee to care for a family member</w:t>
      </w:r>
      <w:r w:rsidR="00B0419B">
        <w:t xml:space="preserve">. </w:t>
      </w:r>
      <w:r w:rsidR="005F7FC6" w:rsidRPr="005F7FC6">
        <w:rPr>
          <w:i/>
        </w:rPr>
        <w:t>What You Should Know</w:t>
      </w:r>
      <w:r w:rsidR="005F7FC6">
        <w:t xml:space="preserve">, </w:t>
      </w:r>
      <w:r w:rsidR="005F7FC6" w:rsidRPr="005F7FC6">
        <w:rPr>
          <w:i/>
        </w:rPr>
        <w:t>supra</w:t>
      </w:r>
      <w:r w:rsidR="005F7FC6">
        <w:t xml:space="preserve">, Question D.13; </w:t>
      </w:r>
      <w:r w:rsidR="00ED3C8C" w:rsidRPr="005119CA">
        <w:rPr>
          <w:i/>
        </w:rPr>
        <w:t>EEOC Webinar</w:t>
      </w:r>
      <w:r w:rsidR="00ED3C8C">
        <w:t xml:space="preserve">, </w:t>
      </w:r>
      <w:r w:rsidR="00ED3C8C" w:rsidRPr="005119CA">
        <w:rPr>
          <w:i/>
        </w:rPr>
        <w:t>supra</w:t>
      </w:r>
      <w:r w:rsidR="00ED3C8C">
        <w:t>, Question 18</w:t>
      </w:r>
      <w:r w:rsidR="00B0419B">
        <w:t>.</w:t>
      </w:r>
      <w:r w:rsidR="00ED3C8C">
        <w:t xml:space="preserve"> </w:t>
      </w:r>
      <w:r w:rsidR="00ED3C8C" w:rsidRPr="004E3682">
        <w:rPr>
          <w:i/>
        </w:rPr>
        <w:t xml:space="preserve">See also </w:t>
      </w:r>
      <w:r w:rsidR="001C17FE" w:rsidRPr="004E3682">
        <w:rPr>
          <w:i/>
        </w:rPr>
        <w:t>Questions &amp; Answers: Association Provision of the ADA</w:t>
      </w:r>
      <w:r w:rsidR="001C17FE">
        <w:t>, Question 4 (EEOC Oct. 17, 2005)</w:t>
      </w:r>
      <w:r w:rsidR="00ED3C8C">
        <w:t>.</w:t>
      </w:r>
      <w:r w:rsidR="001C17FE">
        <w:rPr>
          <w:rStyle w:val="FootnoteReference"/>
        </w:rPr>
        <w:footnoteReference w:id="12"/>
      </w:r>
    </w:p>
    <w:p w14:paraId="351927AB" w14:textId="77777777" w:rsidR="001339E2" w:rsidRPr="001339E2" w:rsidRDefault="001339E2" w:rsidP="001339E2">
      <w:pPr>
        <w:pStyle w:val="ListParagraph"/>
        <w:numPr>
          <w:ilvl w:val="2"/>
          <w:numId w:val="1"/>
        </w:numPr>
        <w:jc w:val="both"/>
        <w:rPr>
          <w:b/>
        </w:rPr>
      </w:pPr>
      <w:r>
        <w:t>Employees may have leave rights under the FMLA or under pandemic-relief statutes</w:t>
      </w:r>
      <w:r w:rsidR="00B0419B">
        <w:t>.</w:t>
      </w:r>
    </w:p>
    <w:p w14:paraId="2113AAF5" w14:textId="77777777" w:rsidR="000700A8" w:rsidRPr="00D93672" w:rsidRDefault="001339E2" w:rsidP="004E3682">
      <w:pPr>
        <w:pStyle w:val="ListParagraph"/>
        <w:numPr>
          <w:ilvl w:val="2"/>
          <w:numId w:val="1"/>
        </w:numPr>
        <w:jc w:val="both"/>
        <w:rPr>
          <w:b/>
        </w:rPr>
      </w:pPr>
      <w:r>
        <w:t>E</w:t>
      </w:r>
      <w:r w:rsidR="00136348" w:rsidRPr="00D93672">
        <w:t>mployer</w:t>
      </w:r>
      <w:r>
        <w:t>s</w:t>
      </w:r>
      <w:r w:rsidR="00136348" w:rsidRPr="00D93672">
        <w:t xml:space="preserve"> </w:t>
      </w:r>
      <w:r w:rsidR="001470A3">
        <w:t>can</w:t>
      </w:r>
      <w:r w:rsidR="00B677D2">
        <w:t xml:space="preserve"> be liable for disparate treatment because of a disability association</w:t>
      </w:r>
      <w:r w:rsidR="001470A3">
        <w:t>. T</w:t>
      </w:r>
      <w:r w:rsidR="00B677D2">
        <w:t xml:space="preserve">hat may require, for example, that the employer provide </w:t>
      </w:r>
      <w:r w:rsidR="00136348" w:rsidRPr="00D93672">
        <w:t>leave if it provides leave for reason</w:t>
      </w:r>
      <w:r w:rsidR="001470A3">
        <w:t>s</w:t>
      </w:r>
      <w:r w:rsidR="00136348" w:rsidRPr="00D93672">
        <w:t xml:space="preserve"> unrelated to disability</w:t>
      </w:r>
      <w:r w:rsidR="00B0419B">
        <w:t xml:space="preserve">. </w:t>
      </w:r>
      <w:r w:rsidR="009C710E" w:rsidRPr="005F7FC6">
        <w:rPr>
          <w:i/>
        </w:rPr>
        <w:t>What You Should Know</w:t>
      </w:r>
      <w:r w:rsidR="009C710E">
        <w:t xml:space="preserve">, </w:t>
      </w:r>
      <w:r w:rsidR="009C710E" w:rsidRPr="005F7FC6">
        <w:rPr>
          <w:i/>
        </w:rPr>
        <w:t>supra</w:t>
      </w:r>
      <w:r w:rsidR="009C710E">
        <w:t xml:space="preserve">, Question D.13; </w:t>
      </w:r>
      <w:r w:rsidR="00ED3C8C" w:rsidRPr="005119CA">
        <w:rPr>
          <w:i/>
        </w:rPr>
        <w:t>EEOC Webinar</w:t>
      </w:r>
      <w:r w:rsidR="00ED3C8C">
        <w:t xml:space="preserve">, </w:t>
      </w:r>
      <w:r w:rsidR="00ED3C8C" w:rsidRPr="005119CA">
        <w:rPr>
          <w:i/>
        </w:rPr>
        <w:t>supra</w:t>
      </w:r>
      <w:r w:rsidR="00ED3C8C">
        <w:t xml:space="preserve">, Question 18. </w:t>
      </w:r>
      <w:r w:rsidR="00AA0B4E">
        <w:rPr>
          <w:i/>
        </w:rPr>
        <w:t xml:space="preserve">See also </w:t>
      </w:r>
      <w:r w:rsidR="004E3682" w:rsidRPr="004E3682">
        <w:rPr>
          <w:i/>
        </w:rPr>
        <w:t>Association Provision of the ADA</w:t>
      </w:r>
      <w:r w:rsidR="004E3682" w:rsidRPr="004E3682">
        <w:t xml:space="preserve">, </w:t>
      </w:r>
      <w:r w:rsidR="004E3682" w:rsidRPr="004E3682">
        <w:rPr>
          <w:i/>
        </w:rPr>
        <w:t>supra</w:t>
      </w:r>
      <w:r w:rsidR="004E3682">
        <w:t>, Ex</w:t>
      </w:r>
      <w:r w:rsidR="007B7CDF">
        <w:t>amples</w:t>
      </w:r>
      <w:r w:rsidR="004E3682">
        <w:t xml:space="preserve"> J and K</w:t>
      </w:r>
      <w:r w:rsidR="00B0419B">
        <w:t>.</w:t>
      </w:r>
    </w:p>
    <w:p w14:paraId="0A9238B2" w14:textId="77777777" w:rsidR="00523E3D" w:rsidRPr="00D93672" w:rsidRDefault="00523E3D" w:rsidP="00D93672">
      <w:pPr>
        <w:pStyle w:val="ListParagraph"/>
        <w:jc w:val="both"/>
        <w:rPr>
          <w:b/>
        </w:rPr>
      </w:pPr>
    </w:p>
    <w:p w14:paraId="2695C747" w14:textId="77777777" w:rsidR="00B562FD" w:rsidRPr="00B562FD" w:rsidRDefault="00B13783" w:rsidP="00D93672">
      <w:pPr>
        <w:pStyle w:val="ListParagraph"/>
        <w:numPr>
          <w:ilvl w:val="0"/>
          <w:numId w:val="1"/>
        </w:numPr>
        <w:jc w:val="both"/>
        <w:rPr>
          <w:b/>
        </w:rPr>
      </w:pPr>
      <w:r w:rsidRPr="00D93672">
        <w:rPr>
          <w:b/>
        </w:rPr>
        <w:t>Changes in enforcement</w:t>
      </w:r>
      <w:r w:rsidR="00485FC9" w:rsidRPr="00D93672">
        <w:rPr>
          <w:b/>
        </w:rPr>
        <w:t xml:space="preserve"> procedures</w:t>
      </w:r>
    </w:p>
    <w:p w14:paraId="5B0AB4A0" w14:textId="77777777" w:rsidR="00764BCA" w:rsidRPr="00DC7E91" w:rsidRDefault="00F4778F" w:rsidP="00883D0D">
      <w:pPr>
        <w:pStyle w:val="ListParagraph"/>
        <w:numPr>
          <w:ilvl w:val="1"/>
          <w:numId w:val="1"/>
        </w:numPr>
        <w:jc w:val="both"/>
        <w:rPr>
          <w:b/>
        </w:rPr>
      </w:pPr>
      <w:r>
        <w:t xml:space="preserve">Claims under the </w:t>
      </w:r>
      <w:r w:rsidR="00764BCA">
        <w:t>ADA</w:t>
      </w:r>
      <w:r>
        <w:t xml:space="preserve"> and Secs. 501 and 503</w:t>
      </w:r>
      <w:r w:rsidR="00764BCA">
        <w:t xml:space="preserve"> must be administratively exhausted</w:t>
      </w:r>
      <w:r w:rsidR="000379AF">
        <w:t xml:space="preserve"> </w:t>
      </w:r>
      <w:r w:rsidR="00764BCA">
        <w:t xml:space="preserve">by filing a </w:t>
      </w:r>
      <w:r>
        <w:t>complaint</w:t>
      </w:r>
      <w:r w:rsidR="007B7CDF">
        <w:t>.</w:t>
      </w:r>
      <w:r w:rsidR="00764BCA">
        <w:t xml:space="preserve"> </w:t>
      </w:r>
      <w:r w:rsidR="007B7CDF" w:rsidRPr="00DC7E91">
        <w:rPr>
          <w:i/>
        </w:rPr>
        <w:t>See Filing A Charge of Discrimination With the EEOC</w:t>
      </w:r>
      <w:r w:rsidR="00764BCA">
        <w:t>.</w:t>
      </w:r>
      <w:r w:rsidR="007B7CDF">
        <w:rPr>
          <w:rStyle w:val="FootnoteReference"/>
        </w:rPr>
        <w:footnoteReference w:id="13"/>
      </w:r>
      <w:r>
        <w:t xml:space="preserve"> Sec. 504 claims against non-federal employers</w:t>
      </w:r>
      <w:r w:rsidRPr="00F4778F">
        <w:t xml:space="preserve"> need not be exhausted.</w:t>
      </w:r>
      <w:r w:rsidR="00DC7E91">
        <w:t xml:space="preserve"> </w:t>
      </w:r>
      <w:r w:rsidR="00DC7E91" w:rsidRPr="00DC7E91">
        <w:rPr>
          <w:i/>
        </w:rPr>
        <w:t>Taylor v. City of Shreveport</w:t>
      </w:r>
      <w:r w:rsidR="00DC7E91">
        <w:t xml:space="preserve">, 798 F.3d 276, 284 (5th Cir. 2015); </w:t>
      </w:r>
      <w:r w:rsidR="00DC7E91" w:rsidRPr="00DC7E91">
        <w:rPr>
          <w:i/>
        </w:rPr>
        <w:t>Freed v. Consol. Rail Corp</w:t>
      </w:r>
      <w:r w:rsidR="00DC7E91">
        <w:t>., 201 F.3d 188, 192 (3d Cir. 2000) (collecting cases).</w:t>
      </w:r>
    </w:p>
    <w:p w14:paraId="44C0430E" w14:textId="77777777" w:rsidR="00B562FD" w:rsidRPr="00B562FD" w:rsidRDefault="00B562FD" w:rsidP="00B562FD">
      <w:pPr>
        <w:pStyle w:val="ListParagraph"/>
        <w:numPr>
          <w:ilvl w:val="1"/>
          <w:numId w:val="1"/>
        </w:numPr>
        <w:jc w:val="both"/>
        <w:rPr>
          <w:b/>
        </w:rPr>
      </w:pPr>
      <w:r>
        <w:lastRenderedPageBreak/>
        <w:t>S</w:t>
      </w:r>
      <w:r w:rsidR="00485FC9" w:rsidRPr="00D93672">
        <w:t xml:space="preserve">ome offices </w:t>
      </w:r>
      <w:r w:rsidR="00F4778F">
        <w:t xml:space="preserve">may </w:t>
      </w:r>
      <w:r w:rsidR="00AA0B4E">
        <w:t xml:space="preserve">only </w:t>
      </w:r>
      <w:r>
        <w:t xml:space="preserve">be accepting </w:t>
      </w:r>
      <w:r w:rsidR="00485FC9" w:rsidRPr="00D93672">
        <w:t>charges of discrimination by fax or email.</w:t>
      </w:r>
      <w:r w:rsidR="00685323">
        <w:rPr>
          <w:rStyle w:val="FootnoteReference"/>
        </w:rPr>
        <w:footnoteReference w:id="14"/>
      </w:r>
    </w:p>
    <w:p w14:paraId="1ED93D44" w14:textId="77777777" w:rsidR="00B13783" w:rsidRPr="00D93672" w:rsidRDefault="00B562FD" w:rsidP="00B562FD">
      <w:pPr>
        <w:pStyle w:val="ListParagraph"/>
        <w:numPr>
          <w:ilvl w:val="1"/>
          <w:numId w:val="1"/>
        </w:numPr>
        <w:jc w:val="both"/>
        <w:rPr>
          <w:b/>
        </w:rPr>
      </w:pPr>
      <w:r>
        <w:t>The EEOC (and the DOJ for charges against state and local government agencies) may be delaying the issuance of the right-to-sue notice.</w:t>
      </w:r>
      <w:r w:rsidR="00EB6850">
        <w:rPr>
          <w:rStyle w:val="FootnoteReference"/>
        </w:rPr>
        <w:footnoteReference w:id="15"/>
      </w:r>
    </w:p>
    <w:p w14:paraId="0F1010A1" w14:textId="77777777" w:rsidR="00523E3D" w:rsidRPr="00D93672" w:rsidRDefault="00523E3D" w:rsidP="00D93672">
      <w:pPr>
        <w:pStyle w:val="ListParagraph"/>
        <w:jc w:val="both"/>
        <w:rPr>
          <w:b/>
        </w:rPr>
      </w:pPr>
    </w:p>
    <w:p w14:paraId="765AA96E" w14:textId="77777777" w:rsidR="00AD63E5" w:rsidRPr="00D93672" w:rsidRDefault="000700A8" w:rsidP="00123B0E">
      <w:pPr>
        <w:pStyle w:val="ListParagraph"/>
        <w:numPr>
          <w:ilvl w:val="0"/>
          <w:numId w:val="1"/>
        </w:numPr>
        <w:jc w:val="both"/>
      </w:pPr>
      <w:r w:rsidRPr="00AA0B4E">
        <w:rPr>
          <w:b/>
        </w:rPr>
        <w:t>Resources</w:t>
      </w:r>
      <w:r w:rsidR="00530CA8" w:rsidRPr="00D93672">
        <w:t xml:space="preserve">—The EEOC has </w:t>
      </w:r>
      <w:r w:rsidR="00DC7E49">
        <w:t xml:space="preserve">further </w:t>
      </w:r>
      <w:r w:rsidR="00530CA8" w:rsidRPr="00D93672">
        <w:t xml:space="preserve">information on, or linked to, the following webpage: </w:t>
      </w:r>
      <w:r w:rsidR="00825672" w:rsidRPr="0046637C">
        <w:rPr>
          <w:rStyle w:val="Hyperlink"/>
        </w:rPr>
        <w:t>https://www.eeoc.gov/coronavirus</w:t>
      </w:r>
      <w:r w:rsidR="00825672">
        <w:t>.</w:t>
      </w:r>
    </w:p>
    <w:sectPr w:rsidR="00AD63E5" w:rsidRPr="00D936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175F" w14:textId="77777777" w:rsidR="007063C6" w:rsidRDefault="007063C6" w:rsidP="00E17EAE">
      <w:r>
        <w:separator/>
      </w:r>
    </w:p>
  </w:endnote>
  <w:endnote w:type="continuationSeparator" w:id="0">
    <w:p w14:paraId="76077E8A" w14:textId="77777777" w:rsidR="007063C6" w:rsidRDefault="007063C6" w:rsidP="00E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1968" w14:textId="77777777" w:rsidR="0046637C" w:rsidRDefault="00466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747626"/>
      <w:docPartObj>
        <w:docPartGallery w:val="Page Numbers (Bottom of Page)"/>
        <w:docPartUnique/>
      </w:docPartObj>
    </w:sdtPr>
    <w:sdtEndPr>
      <w:rPr>
        <w:noProof/>
      </w:rPr>
    </w:sdtEndPr>
    <w:sdtContent>
      <w:p w14:paraId="76E3D052" w14:textId="77777777" w:rsidR="00BC480B" w:rsidRDefault="00BC480B">
        <w:pPr>
          <w:pStyle w:val="Footer"/>
          <w:jc w:val="center"/>
        </w:pPr>
        <w:r>
          <w:fldChar w:fldCharType="begin"/>
        </w:r>
        <w:r>
          <w:instrText xml:space="preserve"> PAGE   \* MERGEFORMAT </w:instrText>
        </w:r>
        <w:r>
          <w:fldChar w:fldCharType="separate"/>
        </w:r>
        <w:r w:rsidR="0040230E">
          <w:rPr>
            <w:noProof/>
          </w:rPr>
          <w:t>1</w:t>
        </w:r>
        <w:r>
          <w:rPr>
            <w:noProof/>
          </w:rPr>
          <w:fldChar w:fldCharType="end"/>
        </w:r>
      </w:p>
    </w:sdtContent>
  </w:sdt>
  <w:p w14:paraId="1CBBDA12" w14:textId="77777777" w:rsidR="00BC480B" w:rsidRDefault="00BC4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102D" w14:textId="77777777" w:rsidR="0046637C" w:rsidRDefault="0046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C49F" w14:textId="77777777" w:rsidR="007063C6" w:rsidRDefault="007063C6" w:rsidP="00E17EAE">
      <w:r>
        <w:separator/>
      </w:r>
    </w:p>
  </w:footnote>
  <w:footnote w:type="continuationSeparator" w:id="0">
    <w:p w14:paraId="570AE2FD" w14:textId="77777777" w:rsidR="007063C6" w:rsidRDefault="007063C6" w:rsidP="00E17EAE">
      <w:r>
        <w:continuationSeparator/>
      </w:r>
    </w:p>
  </w:footnote>
  <w:footnote w:id="1">
    <w:p w14:paraId="32EFCCE7" w14:textId="77777777" w:rsidR="00616D7A" w:rsidRPr="0099346D" w:rsidRDefault="00616D7A" w:rsidP="00F823CC">
      <w:pPr>
        <w:pStyle w:val="FootnoteText"/>
        <w:jc w:val="both"/>
      </w:pPr>
      <w:r>
        <w:rPr>
          <w:rStyle w:val="FootnoteReference"/>
        </w:rPr>
        <w:footnoteRef/>
      </w:r>
      <w:r>
        <w:t xml:space="preserve"> Note that</w:t>
      </w:r>
      <w:r w:rsidR="0099346D">
        <w:t xml:space="preserve"> the ADA’s employment </w:t>
      </w:r>
      <w:r w:rsidR="007E05BF">
        <w:t xml:space="preserve">standards </w:t>
      </w:r>
      <w:r w:rsidR="0099346D">
        <w:t>apply to certain entities of the Legislative Branch by virtue of the Congressional Accountability Act., 24 U.S.C.</w:t>
      </w:r>
      <w:r w:rsidR="0099346D" w:rsidRPr="0099346D">
        <w:t xml:space="preserve"> §</w:t>
      </w:r>
      <w:r w:rsidR="0099346D">
        <w:t xml:space="preserve"> </w:t>
      </w:r>
      <w:r w:rsidR="0099346D" w:rsidRPr="0099346D">
        <w:t>1311</w:t>
      </w:r>
      <w:r w:rsidR="007E05BF">
        <w:t xml:space="preserve">; to </w:t>
      </w:r>
      <w:r w:rsidR="0099346D">
        <w:t xml:space="preserve">the </w:t>
      </w:r>
      <w:r w:rsidR="0099346D" w:rsidRPr="0099346D">
        <w:t>Executive Office of the President (with some exceptions), per 3 U.S.C. § 411</w:t>
      </w:r>
      <w:r w:rsidR="007E05BF">
        <w:t xml:space="preserve">; </w:t>
      </w:r>
      <w:r w:rsidR="0099346D" w:rsidRPr="0099346D">
        <w:t xml:space="preserve">and </w:t>
      </w:r>
      <w:r w:rsidR="0099346D">
        <w:t xml:space="preserve">to </w:t>
      </w:r>
      <w:r w:rsidR="0099346D" w:rsidRPr="0099346D">
        <w:t>some aspects of the White House</w:t>
      </w:r>
      <w:r w:rsidR="0099346D">
        <w:t xml:space="preserve"> </w:t>
      </w:r>
      <w:r w:rsidR="0099346D" w:rsidRPr="0099346D">
        <w:t>per 3 U.S.C. § 421</w:t>
      </w:r>
      <w:r w:rsidR="0099346D">
        <w:t>.</w:t>
      </w:r>
    </w:p>
  </w:footnote>
  <w:footnote w:id="2">
    <w:p w14:paraId="349498C7" w14:textId="77777777" w:rsidR="000A5E9B" w:rsidRDefault="000A5E9B">
      <w:pPr>
        <w:pStyle w:val="FootnoteText"/>
      </w:pPr>
      <w:r>
        <w:rPr>
          <w:rStyle w:val="FootnoteReference"/>
        </w:rPr>
        <w:footnoteRef/>
      </w:r>
      <w:r>
        <w:t xml:space="preserve"> For information in filing a complaint, see </w:t>
      </w:r>
      <w:r w:rsidRPr="0046637C">
        <w:rPr>
          <w:rStyle w:val="Hyperlink"/>
        </w:rPr>
        <w:t>https://www.dol.gov/agencies/ofccp/contact/file-complaint</w:t>
      </w:r>
      <w:r>
        <w:t xml:space="preserve">. </w:t>
      </w:r>
    </w:p>
  </w:footnote>
  <w:footnote w:id="3">
    <w:p w14:paraId="43B5E27C" w14:textId="77777777" w:rsidR="00277016" w:rsidRDefault="00277016" w:rsidP="00277016">
      <w:pPr>
        <w:pStyle w:val="FootnoteText"/>
      </w:pPr>
      <w:r>
        <w:rPr>
          <w:rStyle w:val="FootnoteReference"/>
        </w:rPr>
        <w:footnoteRef/>
      </w:r>
      <w:r>
        <w:t xml:space="preserve"> </w:t>
      </w:r>
      <w:r w:rsidR="009A3806">
        <w:t>Available o</w:t>
      </w:r>
      <w:r>
        <w:t xml:space="preserve">nline at </w:t>
      </w:r>
      <w:r w:rsidR="00944190" w:rsidRPr="0046637C">
        <w:rPr>
          <w:rStyle w:val="Hyperlink"/>
        </w:rPr>
        <w:t>https://www.eeoc.gov/wysk/what-you-should-know-about-covid-19-and-ada-rehabilitation-act-and-other-eeo-laws</w:t>
      </w:r>
      <w:r w:rsidR="00944190">
        <w:t xml:space="preserve">. </w:t>
      </w:r>
    </w:p>
  </w:footnote>
  <w:footnote w:id="4">
    <w:p w14:paraId="33BE80DF" w14:textId="77777777" w:rsidR="00D15C2F" w:rsidRPr="00AD6031" w:rsidRDefault="00D15C2F" w:rsidP="00D15C2F">
      <w:pPr>
        <w:pStyle w:val="FootnoteText"/>
      </w:pPr>
      <w:r>
        <w:rPr>
          <w:rStyle w:val="FootnoteReference"/>
        </w:rPr>
        <w:footnoteRef/>
      </w:r>
      <w:r>
        <w:t xml:space="preserve"> O</w:t>
      </w:r>
      <w:r w:rsidRPr="00AD6031">
        <w:t>nline at</w:t>
      </w:r>
      <w:r>
        <w:t xml:space="preserve"> </w:t>
      </w:r>
      <w:r w:rsidRPr="0046637C">
        <w:rPr>
          <w:rStyle w:val="Hyperlink"/>
        </w:rPr>
        <w:t>https://www.eeoc.gov/laws/guidance/pandemic-preparedness-workplace-and-americans-disabilities-act</w:t>
      </w:r>
      <w:r>
        <w:t xml:space="preserve">. </w:t>
      </w:r>
    </w:p>
  </w:footnote>
  <w:footnote w:id="5">
    <w:p w14:paraId="2E62ABFA" w14:textId="77777777" w:rsidR="002246E7" w:rsidRDefault="002246E7">
      <w:pPr>
        <w:pStyle w:val="FootnoteText"/>
      </w:pPr>
      <w:r>
        <w:rPr>
          <w:rStyle w:val="FootnoteReference"/>
        </w:rPr>
        <w:footnoteRef/>
      </w:r>
      <w:r>
        <w:t xml:space="preserve"> Online at </w:t>
      </w:r>
      <w:r w:rsidRPr="0046637C">
        <w:rPr>
          <w:rStyle w:val="Hyperlink"/>
        </w:rPr>
        <w:t>https://www.eeoc.gov/transcript-march-27-2020-outreach-webinar</w:t>
      </w:r>
      <w:r>
        <w:t xml:space="preserve">. </w:t>
      </w:r>
    </w:p>
  </w:footnote>
  <w:footnote w:id="6">
    <w:p w14:paraId="1A6C5BCE" w14:textId="77777777" w:rsidR="00E17EAE" w:rsidRPr="00E17EAE" w:rsidRDefault="00E17EAE" w:rsidP="00F823CC">
      <w:pPr>
        <w:pStyle w:val="FootnoteText"/>
        <w:jc w:val="both"/>
      </w:pPr>
      <w:r>
        <w:rPr>
          <w:rStyle w:val="FootnoteReference"/>
        </w:rPr>
        <w:footnoteRef/>
      </w:r>
      <w:r>
        <w:t xml:space="preserve"> </w:t>
      </w:r>
      <w:r w:rsidR="00AF7CD2">
        <w:t>Note, too, that under Title VII, e</w:t>
      </w:r>
      <w:r>
        <w:t>mploye</w:t>
      </w:r>
      <w:r w:rsidR="00AF7CD2">
        <w:t xml:space="preserve">rs </w:t>
      </w:r>
      <w:r>
        <w:t xml:space="preserve">may also </w:t>
      </w:r>
      <w:r w:rsidR="00AF7CD2">
        <w:t xml:space="preserve">need to </w:t>
      </w:r>
      <w:r>
        <w:t>accommodate</w:t>
      </w:r>
      <w:r w:rsidR="00AF7CD2">
        <w:t xml:space="preserve"> employees who have </w:t>
      </w:r>
      <w:r w:rsidRPr="00E17EAE">
        <w:t xml:space="preserve">religious beliefs </w:t>
      </w:r>
      <w:r w:rsidR="00AF7CD2">
        <w:t xml:space="preserve">that prevent </w:t>
      </w:r>
      <w:r w:rsidRPr="00E17EAE">
        <w:t xml:space="preserve">taking the </w:t>
      </w:r>
      <w:r w:rsidR="00AF7CD2">
        <w:t>va</w:t>
      </w:r>
      <w:r w:rsidRPr="00E17EAE">
        <w:t>ccine</w:t>
      </w:r>
      <w:r w:rsidR="00AF7CD2">
        <w:t>.</w:t>
      </w:r>
      <w:r w:rsidR="001E4C70">
        <w:t xml:space="preserve"> </w:t>
      </w:r>
      <w:r w:rsidR="001E4C70" w:rsidRPr="001E4C70">
        <w:rPr>
          <w:i/>
        </w:rPr>
        <w:t>EEOC’s Pandemic Preparedness</w:t>
      </w:r>
      <w:r w:rsidR="001E4C70" w:rsidRPr="001E4C70">
        <w:t xml:space="preserve">, </w:t>
      </w:r>
      <w:r w:rsidR="001E4C70" w:rsidRPr="001E4C70">
        <w:rPr>
          <w:i/>
        </w:rPr>
        <w:t>supra</w:t>
      </w:r>
      <w:r w:rsidR="001E4C70" w:rsidRPr="001E4C70">
        <w:t xml:space="preserve">, </w:t>
      </w:r>
      <w:r w:rsidR="001E4C70">
        <w:t>Question 13.</w:t>
      </w:r>
    </w:p>
  </w:footnote>
  <w:footnote w:id="7">
    <w:p w14:paraId="4A0ABA56" w14:textId="77777777" w:rsidR="005635C7" w:rsidRPr="005635C7" w:rsidRDefault="005635C7" w:rsidP="00F823CC">
      <w:pPr>
        <w:pStyle w:val="FootnoteText"/>
        <w:jc w:val="both"/>
      </w:pPr>
      <w:r>
        <w:rPr>
          <w:rStyle w:val="FootnoteReference"/>
        </w:rPr>
        <w:footnoteRef/>
      </w:r>
      <w:r>
        <w:t xml:space="preserve"> Also, an </w:t>
      </w:r>
      <w:r w:rsidRPr="005635C7">
        <w:t xml:space="preserve">employer </w:t>
      </w:r>
      <w:r>
        <w:t xml:space="preserve">cannot </w:t>
      </w:r>
      <w:r w:rsidRPr="005635C7">
        <w:t xml:space="preserve">exclude </w:t>
      </w:r>
      <w:r>
        <w:t xml:space="preserve">an </w:t>
      </w:r>
      <w:r w:rsidRPr="005635C7">
        <w:t>employee who is 65 or older</w:t>
      </w:r>
      <w:r w:rsidR="007D719F">
        <w:t xml:space="preserve">, or who is pregnant, </w:t>
      </w:r>
      <w:r>
        <w:t xml:space="preserve">just because </w:t>
      </w:r>
      <w:r w:rsidRPr="005635C7">
        <w:t xml:space="preserve">the CDC has identified </w:t>
      </w:r>
      <w:r w:rsidR="007D719F">
        <w:t xml:space="preserve">these factors as putting individuals </w:t>
      </w:r>
      <w:r w:rsidRPr="005635C7">
        <w:t>at higher risk of severe illness if they contract COVID-19</w:t>
      </w:r>
      <w:r>
        <w:t xml:space="preserve">. </w:t>
      </w:r>
      <w:r w:rsidRPr="005635C7">
        <w:rPr>
          <w:i/>
        </w:rPr>
        <w:t>EEOC Webinar</w:t>
      </w:r>
      <w:r w:rsidRPr="005635C7">
        <w:t xml:space="preserve">, </w:t>
      </w:r>
      <w:r w:rsidRPr="005635C7">
        <w:rPr>
          <w:i/>
        </w:rPr>
        <w:t>supra</w:t>
      </w:r>
      <w:r w:rsidRPr="005635C7">
        <w:t>, Question</w:t>
      </w:r>
      <w:r w:rsidR="007D719F">
        <w:t>s</w:t>
      </w:r>
      <w:r w:rsidRPr="005635C7">
        <w:t xml:space="preserve"> </w:t>
      </w:r>
      <w:r>
        <w:t>11</w:t>
      </w:r>
      <w:r w:rsidR="007D719F">
        <w:t xml:space="preserve"> and 13</w:t>
      </w:r>
      <w:r>
        <w:t>.</w:t>
      </w:r>
    </w:p>
  </w:footnote>
  <w:footnote w:id="8">
    <w:p w14:paraId="189B608B" w14:textId="77777777" w:rsidR="00A74A8A" w:rsidRDefault="00A74A8A">
      <w:pPr>
        <w:pStyle w:val="FootnoteText"/>
      </w:pPr>
      <w:r>
        <w:rPr>
          <w:rStyle w:val="FootnoteReference"/>
        </w:rPr>
        <w:footnoteRef/>
      </w:r>
      <w:r>
        <w:t xml:space="preserve"> Note that a “regarded as” disability is not enough to support an accommodation claim. 42 U.S.C. § 122</w:t>
      </w:r>
      <w:r w:rsidR="00373BF4">
        <w:t>01(h).</w:t>
      </w:r>
    </w:p>
  </w:footnote>
  <w:footnote w:id="9">
    <w:p w14:paraId="1BD36C2C" w14:textId="77777777" w:rsidR="000D094F" w:rsidRDefault="000D094F">
      <w:pPr>
        <w:pStyle w:val="FootnoteText"/>
      </w:pPr>
      <w:r>
        <w:rPr>
          <w:rStyle w:val="FootnoteReference"/>
        </w:rPr>
        <w:footnoteRef/>
      </w:r>
      <w:r>
        <w:t xml:space="preserve"> Online at </w:t>
      </w:r>
      <w:r w:rsidRPr="0046637C">
        <w:rPr>
          <w:rStyle w:val="Hyperlink"/>
        </w:rPr>
        <w:t>https://www.cdc.gov/coronavirus/2019-ncov/downloads/php/CDC-Activities-Initiatives-for-COVID-19-Response.pdf</w:t>
      </w:r>
      <w:r>
        <w:t xml:space="preserve">. </w:t>
      </w:r>
    </w:p>
  </w:footnote>
  <w:footnote w:id="10">
    <w:p w14:paraId="18E985E4" w14:textId="77777777" w:rsidR="00673397" w:rsidRDefault="00673397">
      <w:pPr>
        <w:pStyle w:val="FootnoteText"/>
      </w:pPr>
      <w:r>
        <w:rPr>
          <w:rStyle w:val="FootnoteReference"/>
        </w:rPr>
        <w:footnoteRef/>
      </w:r>
      <w:r>
        <w:t xml:space="preserve"> Online at </w:t>
      </w:r>
      <w:r w:rsidRPr="0046637C">
        <w:rPr>
          <w:rStyle w:val="Hyperlink"/>
        </w:rPr>
        <w:t>https://www.cdc.gov/coronavirus/2019-ncov/community/guidance-business-response.html</w:t>
      </w:r>
      <w:r>
        <w:t xml:space="preserve">. </w:t>
      </w:r>
    </w:p>
  </w:footnote>
  <w:footnote w:id="11">
    <w:p w14:paraId="51C22E41" w14:textId="77777777" w:rsidR="00F95B02" w:rsidRDefault="00F95B02">
      <w:pPr>
        <w:pStyle w:val="FootnoteText"/>
      </w:pPr>
      <w:r>
        <w:rPr>
          <w:rStyle w:val="FootnoteReference"/>
        </w:rPr>
        <w:footnoteRef/>
      </w:r>
      <w:r>
        <w:t xml:space="preserve"> Online at </w:t>
      </w:r>
      <w:r w:rsidRPr="0046637C">
        <w:rPr>
          <w:rStyle w:val="Hyperlink"/>
        </w:rPr>
        <w:t>https://www.osha.gov/Publications/OSHA3990.pdf</w:t>
      </w:r>
      <w:r>
        <w:t xml:space="preserve">. </w:t>
      </w:r>
    </w:p>
  </w:footnote>
  <w:footnote w:id="12">
    <w:p w14:paraId="217556D2" w14:textId="77777777" w:rsidR="001C17FE" w:rsidRDefault="001C17FE">
      <w:pPr>
        <w:pStyle w:val="FootnoteText"/>
      </w:pPr>
      <w:r>
        <w:rPr>
          <w:rStyle w:val="FootnoteReference"/>
        </w:rPr>
        <w:footnoteRef/>
      </w:r>
      <w:r>
        <w:t xml:space="preserve"> Online at </w:t>
      </w:r>
      <w:r w:rsidRPr="0046637C">
        <w:rPr>
          <w:rStyle w:val="Hyperlink"/>
        </w:rPr>
        <w:t>https://www.eeoc.gov/laws/guidance/questions-answers-association-provision-ada</w:t>
      </w:r>
      <w:r>
        <w:t xml:space="preserve">. </w:t>
      </w:r>
    </w:p>
  </w:footnote>
  <w:footnote w:id="13">
    <w:p w14:paraId="2D907CA6" w14:textId="77777777" w:rsidR="007B7CDF" w:rsidRDefault="007B7CDF">
      <w:pPr>
        <w:pStyle w:val="FootnoteText"/>
      </w:pPr>
      <w:r>
        <w:rPr>
          <w:rStyle w:val="FootnoteReference"/>
        </w:rPr>
        <w:footnoteRef/>
      </w:r>
      <w:r>
        <w:t xml:space="preserve"> Online at </w:t>
      </w:r>
      <w:r w:rsidRPr="0046637C">
        <w:rPr>
          <w:rStyle w:val="Hyperlink"/>
        </w:rPr>
        <w:t>https://www.eeoc.gov/filing-charge-discrimination</w:t>
      </w:r>
      <w:r>
        <w:t xml:space="preserve">. </w:t>
      </w:r>
    </w:p>
  </w:footnote>
  <w:footnote w:id="14">
    <w:p w14:paraId="1B0AB54A" w14:textId="77777777" w:rsidR="00685323" w:rsidRDefault="00685323">
      <w:pPr>
        <w:pStyle w:val="FootnoteText"/>
      </w:pPr>
      <w:r>
        <w:rPr>
          <w:rStyle w:val="FootnoteReference"/>
        </w:rPr>
        <w:footnoteRef/>
      </w:r>
      <w:r>
        <w:t xml:space="preserve"> </w:t>
      </w:r>
      <w:r w:rsidRPr="00EB6850">
        <w:rPr>
          <w:i/>
        </w:rPr>
        <w:t>See</w:t>
      </w:r>
      <w:r>
        <w:t xml:space="preserve"> </w:t>
      </w:r>
      <w:r w:rsidRPr="0046637C">
        <w:rPr>
          <w:rStyle w:val="Hyperlink"/>
        </w:rPr>
        <w:t>https://www.eeoc.gov/newsroom/eeoc-continues-serve-public-during-covid-19-crisis</w:t>
      </w:r>
      <w:r w:rsidR="00EB6850">
        <w:t xml:space="preserve">; </w:t>
      </w:r>
      <w:r w:rsidR="00EB6850" w:rsidRPr="0046637C">
        <w:rPr>
          <w:rStyle w:val="Hyperlink"/>
        </w:rPr>
        <w:t>https://www.eeoc.gov/processing-information-all-parties-federal-eeo-processing-under-29-cfr-part-1614</w:t>
      </w:r>
      <w:r w:rsidR="00EB6850">
        <w:t xml:space="preserve">. </w:t>
      </w:r>
    </w:p>
  </w:footnote>
  <w:footnote w:id="15">
    <w:p w14:paraId="04D98837" w14:textId="77777777" w:rsidR="00EB6850" w:rsidRDefault="00EB6850">
      <w:pPr>
        <w:pStyle w:val="FootnoteText"/>
      </w:pPr>
      <w:r>
        <w:rPr>
          <w:rStyle w:val="FootnoteReference"/>
        </w:rPr>
        <w:footnoteRef/>
      </w:r>
      <w:r>
        <w:t xml:space="preserve"> </w:t>
      </w:r>
      <w:r w:rsidRPr="00EB6850">
        <w:rPr>
          <w:i/>
        </w:rPr>
        <w:t>See</w:t>
      </w:r>
      <w:r>
        <w:t xml:space="preserve"> </w:t>
      </w:r>
      <w:r w:rsidRPr="0046637C">
        <w:rPr>
          <w:rStyle w:val="Hyperlink"/>
        </w:rPr>
        <w:t>https://www.justice.gov/crt/case-document/file/1272126/download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1EE9" w14:textId="77777777" w:rsidR="0046637C" w:rsidRDefault="00466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A41E" w14:textId="77777777" w:rsidR="0046637C" w:rsidRDefault="00466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A532" w14:textId="77777777" w:rsidR="0046637C" w:rsidRDefault="00466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A1349"/>
    <w:multiLevelType w:val="hybridMultilevel"/>
    <w:tmpl w:val="CF465B22"/>
    <w:lvl w:ilvl="0" w:tplc="BAC00E60">
      <w:start w:val="1"/>
      <w:numFmt w:val="decimal"/>
      <w:lvlText w:val="%1."/>
      <w:lvlJc w:val="left"/>
      <w:pPr>
        <w:ind w:left="720" w:hanging="360"/>
      </w:pPr>
      <w:rPr>
        <w:b/>
      </w:rPr>
    </w:lvl>
    <w:lvl w:ilvl="1" w:tplc="9056BBA0">
      <w:start w:val="1"/>
      <w:numFmt w:val="lowerLetter"/>
      <w:lvlText w:val="%2."/>
      <w:lvlJc w:val="left"/>
      <w:pPr>
        <w:ind w:left="1440" w:hanging="360"/>
      </w:pPr>
      <w:rPr>
        <w:b/>
        <w:i w:val="0"/>
      </w:rPr>
    </w:lvl>
    <w:lvl w:ilvl="2" w:tplc="1308A03C">
      <w:start w:val="1"/>
      <w:numFmt w:val="lowerRoman"/>
      <w:lvlText w:val="%3."/>
      <w:lvlJc w:val="right"/>
      <w:pPr>
        <w:ind w:left="2160" w:hanging="180"/>
      </w:pPr>
      <w:rPr>
        <w:b w:val="0"/>
        <w:i w:val="0"/>
      </w:rPr>
    </w:lvl>
    <w:lvl w:ilvl="3" w:tplc="809A1E6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7F"/>
    <w:rsid w:val="00003FEA"/>
    <w:rsid w:val="00010F17"/>
    <w:rsid w:val="00021A6D"/>
    <w:rsid w:val="000362AF"/>
    <w:rsid w:val="000379AF"/>
    <w:rsid w:val="00052022"/>
    <w:rsid w:val="00060B0D"/>
    <w:rsid w:val="000700A8"/>
    <w:rsid w:val="00082D39"/>
    <w:rsid w:val="00093AE9"/>
    <w:rsid w:val="000A5E9B"/>
    <w:rsid w:val="000B01CB"/>
    <w:rsid w:val="000B1830"/>
    <w:rsid w:val="000C2597"/>
    <w:rsid w:val="000C77D4"/>
    <w:rsid w:val="000D094F"/>
    <w:rsid w:val="000D775C"/>
    <w:rsid w:val="000E697F"/>
    <w:rsid w:val="000F1865"/>
    <w:rsid w:val="000F1D9A"/>
    <w:rsid w:val="000F666A"/>
    <w:rsid w:val="0010278B"/>
    <w:rsid w:val="001123D2"/>
    <w:rsid w:val="0012262E"/>
    <w:rsid w:val="001339E2"/>
    <w:rsid w:val="00136348"/>
    <w:rsid w:val="001470A3"/>
    <w:rsid w:val="001738B0"/>
    <w:rsid w:val="00195E90"/>
    <w:rsid w:val="001C17FE"/>
    <w:rsid w:val="001C2B0C"/>
    <w:rsid w:val="001D6E19"/>
    <w:rsid w:val="001E4C70"/>
    <w:rsid w:val="001F0035"/>
    <w:rsid w:val="001F6A70"/>
    <w:rsid w:val="00200A41"/>
    <w:rsid w:val="00202BE0"/>
    <w:rsid w:val="00206BD9"/>
    <w:rsid w:val="00210742"/>
    <w:rsid w:val="00214401"/>
    <w:rsid w:val="002155FD"/>
    <w:rsid w:val="00217080"/>
    <w:rsid w:val="002246E7"/>
    <w:rsid w:val="00244BB9"/>
    <w:rsid w:val="00260086"/>
    <w:rsid w:val="00263106"/>
    <w:rsid w:val="002662BD"/>
    <w:rsid w:val="0027107E"/>
    <w:rsid w:val="002725FA"/>
    <w:rsid w:val="00277016"/>
    <w:rsid w:val="00284B40"/>
    <w:rsid w:val="002B18BC"/>
    <w:rsid w:val="002B35D1"/>
    <w:rsid w:val="002D6090"/>
    <w:rsid w:val="002E3AA5"/>
    <w:rsid w:val="002E50AB"/>
    <w:rsid w:val="002F4612"/>
    <w:rsid w:val="002F4C34"/>
    <w:rsid w:val="002F762F"/>
    <w:rsid w:val="003069F7"/>
    <w:rsid w:val="003178A1"/>
    <w:rsid w:val="00332F37"/>
    <w:rsid w:val="00335F04"/>
    <w:rsid w:val="00345D81"/>
    <w:rsid w:val="00351305"/>
    <w:rsid w:val="00357837"/>
    <w:rsid w:val="00373BF4"/>
    <w:rsid w:val="003908BA"/>
    <w:rsid w:val="003B1764"/>
    <w:rsid w:val="003D4455"/>
    <w:rsid w:val="0040230E"/>
    <w:rsid w:val="00426B9E"/>
    <w:rsid w:val="00426CC9"/>
    <w:rsid w:val="0043257B"/>
    <w:rsid w:val="00444FA0"/>
    <w:rsid w:val="004530FF"/>
    <w:rsid w:val="0046637C"/>
    <w:rsid w:val="00475638"/>
    <w:rsid w:val="004758EB"/>
    <w:rsid w:val="00485FC9"/>
    <w:rsid w:val="00486667"/>
    <w:rsid w:val="00490ECC"/>
    <w:rsid w:val="00492BC9"/>
    <w:rsid w:val="00496857"/>
    <w:rsid w:val="004C195F"/>
    <w:rsid w:val="004D3A32"/>
    <w:rsid w:val="004E3682"/>
    <w:rsid w:val="004E4110"/>
    <w:rsid w:val="004E580D"/>
    <w:rsid w:val="004F0C51"/>
    <w:rsid w:val="004F28E0"/>
    <w:rsid w:val="00501750"/>
    <w:rsid w:val="00507DA9"/>
    <w:rsid w:val="005119CA"/>
    <w:rsid w:val="0051369A"/>
    <w:rsid w:val="00514A1F"/>
    <w:rsid w:val="00522A2B"/>
    <w:rsid w:val="00523124"/>
    <w:rsid w:val="00523E3D"/>
    <w:rsid w:val="0053079E"/>
    <w:rsid w:val="00530CA8"/>
    <w:rsid w:val="00554683"/>
    <w:rsid w:val="005635C7"/>
    <w:rsid w:val="005677CF"/>
    <w:rsid w:val="00574524"/>
    <w:rsid w:val="00576B10"/>
    <w:rsid w:val="005801CA"/>
    <w:rsid w:val="00584E0E"/>
    <w:rsid w:val="0059477D"/>
    <w:rsid w:val="005B099A"/>
    <w:rsid w:val="005D2E09"/>
    <w:rsid w:val="005D63A0"/>
    <w:rsid w:val="005D7728"/>
    <w:rsid w:val="005F7FC6"/>
    <w:rsid w:val="00600DCE"/>
    <w:rsid w:val="006026F0"/>
    <w:rsid w:val="00616D7A"/>
    <w:rsid w:val="00626B5F"/>
    <w:rsid w:val="00644F03"/>
    <w:rsid w:val="00647A5E"/>
    <w:rsid w:val="00647DBA"/>
    <w:rsid w:val="006609B7"/>
    <w:rsid w:val="00661D56"/>
    <w:rsid w:val="00673397"/>
    <w:rsid w:val="00677E1F"/>
    <w:rsid w:val="00685323"/>
    <w:rsid w:val="0069345C"/>
    <w:rsid w:val="006A1161"/>
    <w:rsid w:val="006B6B48"/>
    <w:rsid w:val="006C737D"/>
    <w:rsid w:val="006D52BB"/>
    <w:rsid w:val="006F16BE"/>
    <w:rsid w:val="006F7501"/>
    <w:rsid w:val="007063C6"/>
    <w:rsid w:val="0074214A"/>
    <w:rsid w:val="0074643A"/>
    <w:rsid w:val="00752579"/>
    <w:rsid w:val="00764BCA"/>
    <w:rsid w:val="00790A29"/>
    <w:rsid w:val="007912D5"/>
    <w:rsid w:val="00795309"/>
    <w:rsid w:val="007A01E6"/>
    <w:rsid w:val="007B3626"/>
    <w:rsid w:val="007B5005"/>
    <w:rsid w:val="007B7CDF"/>
    <w:rsid w:val="007C3A40"/>
    <w:rsid w:val="007D5570"/>
    <w:rsid w:val="007D719F"/>
    <w:rsid w:val="007E05BF"/>
    <w:rsid w:val="007F4B74"/>
    <w:rsid w:val="007F4CC5"/>
    <w:rsid w:val="007F6BDF"/>
    <w:rsid w:val="008040A1"/>
    <w:rsid w:val="00815815"/>
    <w:rsid w:val="00821EFE"/>
    <w:rsid w:val="00824802"/>
    <w:rsid w:val="00825672"/>
    <w:rsid w:val="00842712"/>
    <w:rsid w:val="0084448B"/>
    <w:rsid w:val="00845797"/>
    <w:rsid w:val="00845B7F"/>
    <w:rsid w:val="00852C06"/>
    <w:rsid w:val="008641B6"/>
    <w:rsid w:val="00870CCC"/>
    <w:rsid w:val="008828F9"/>
    <w:rsid w:val="008A214C"/>
    <w:rsid w:val="008B0E7F"/>
    <w:rsid w:val="008B232C"/>
    <w:rsid w:val="008D51A4"/>
    <w:rsid w:val="008D7879"/>
    <w:rsid w:val="00915FF5"/>
    <w:rsid w:val="0091665F"/>
    <w:rsid w:val="00944190"/>
    <w:rsid w:val="00946D2C"/>
    <w:rsid w:val="00947247"/>
    <w:rsid w:val="00963A89"/>
    <w:rsid w:val="0096486A"/>
    <w:rsid w:val="00964EE2"/>
    <w:rsid w:val="00984C39"/>
    <w:rsid w:val="0099199C"/>
    <w:rsid w:val="0099346D"/>
    <w:rsid w:val="0099413F"/>
    <w:rsid w:val="009A3806"/>
    <w:rsid w:val="009B5525"/>
    <w:rsid w:val="009C4092"/>
    <w:rsid w:val="009C710E"/>
    <w:rsid w:val="009C7288"/>
    <w:rsid w:val="009D39CB"/>
    <w:rsid w:val="009F35D0"/>
    <w:rsid w:val="009F753A"/>
    <w:rsid w:val="00A16CE5"/>
    <w:rsid w:val="00A3053F"/>
    <w:rsid w:val="00A30F12"/>
    <w:rsid w:val="00A33926"/>
    <w:rsid w:val="00A407B6"/>
    <w:rsid w:val="00A465C2"/>
    <w:rsid w:val="00A559F9"/>
    <w:rsid w:val="00A74A8A"/>
    <w:rsid w:val="00A7597A"/>
    <w:rsid w:val="00A81BF9"/>
    <w:rsid w:val="00A85043"/>
    <w:rsid w:val="00A92D08"/>
    <w:rsid w:val="00AA0B4E"/>
    <w:rsid w:val="00AC4FAE"/>
    <w:rsid w:val="00AD6031"/>
    <w:rsid w:val="00AD63E5"/>
    <w:rsid w:val="00AE01DF"/>
    <w:rsid w:val="00AF672F"/>
    <w:rsid w:val="00AF7CD2"/>
    <w:rsid w:val="00B0419B"/>
    <w:rsid w:val="00B12D8A"/>
    <w:rsid w:val="00B13783"/>
    <w:rsid w:val="00B2257B"/>
    <w:rsid w:val="00B301F5"/>
    <w:rsid w:val="00B314E0"/>
    <w:rsid w:val="00B32B19"/>
    <w:rsid w:val="00B42F55"/>
    <w:rsid w:val="00B4632E"/>
    <w:rsid w:val="00B51DB3"/>
    <w:rsid w:val="00B562FD"/>
    <w:rsid w:val="00B677D2"/>
    <w:rsid w:val="00B720D6"/>
    <w:rsid w:val="00B907EE"/>
    <w:rsid w:val="00B9359F"/>
    <w:rsid w:val="00BA14D1"/>
    <w:rsid w:val="00BA347F"/>
    <w:rsid w:val="00BC480B"/>
    <w:rsid w:val="00BD698E"/>
    <w:rsid w:val="00BE497A"/>
    <w:rsid w:val="00BF432B"/>
    <w:rsid w:val="00C20F3E"/>
    <w:rsid w:val="00C27300"/>
    <w:rsid w:val="00C32914"/>
    <w:rsid w:val="00C35A25"/>
    <w:rsid w:val="00C431E6"/>
    <w:rsid w:val="00C43D59"/>
    <w:rsid w:val="00C504EE"/>
    <w:rsid w:val="00C7463F"/>
    <w:rsid w:val="00C832C1"/>
    <w:rsid w:val="00C92FF0"/>
    <w:rsid w:val="00CA338B"/>
    <w:rsid w:val="00CB0CF4"/>
    <w:rsid w:val="00CC3C9A"/>
    <w:rsid w:val="00CE13FE"/>
    <w:rsid w:val="00D1155A"/>
    <w:rsid w:val="00D11D7D"/>
    <w:rsid w:val="00D15C2F"/>
    <w:rsid w:val="00D253DD"/>
    <w:rsid w:val="00D30528"/>
    <w:rsid w:val="00D4310C"/>
    <w:rsid w:val="00D67B30"/>
    <w:rsid w:val="00D7279C"/>
    <w:rsid w:val="00D754E6"/>
    <w:rsid w:val="00D75812"/>
    <w:rsid w:val="00D93672"/>
    <w:rsid w:val="00DC6A4C"/>
    <w:rsid w:val="00DC7E49"/>
    <w:rsid w:val="00DC7E91"/>
    <w:rsid w:val="00DF2669"/>
    <w:rsid w:val="00E17EAE"/>
    <w:rsid w:val="00E44EE4"/>
    <w:rsid w:val="00E45846"/>
    <w:rsid w:val="00E55CDE"/>
    <w:rsid w:val="00E57DF7"/>
    <w:rsid w:val="00E762B4"/>
    <w:rsid w:val="00E92AC1"/>
    <w:rsid w:val="00EB6850"/>
    <w:rsid w:val="00EC0167"/>
    <w:rsid w:val="00ED0437"/>
    <w:rsid w:val="00ED3C8C"/>
    <w:rsid w:val="00EE40F1"/>
    <w:rsid w:val="00EF287D"/>
    <w:rsid w:val="00EF4C08"/>
    <w:rsid w:val="00F05850"/>
    <w:rsid w:val="00F277C5"/>
    <w:rsid w:val="00F42982"/>
    <w:rsid w:val="00F4778F"/>
    <w:rsid w:val="00F53FF6"/>
    <w:rsid w:val="00F778D4"/>
    <w:rsid w:val="00F823CC"/>
    <w:rsid w:val="00F91490"/>
    <w:rsid w:val="00F959EF"/>
    <w:rsid w:val="00F95B02"/>
    <w:rsid w:val="00F96102"/>
    <w:rsid w:val="00FA64C7"/>
    <w:rsid w:val="00FA6D5A"/>
    <w:rsid w:val="00FD36FA"/>
    <w:rsid w:val="00FD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BAB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D0D0D" w:themeColor="text1" w:themeTint="F2"/>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8F9"/>
    <w:pPr>
      <w:spacing w:after="0" w:line="240" w:lineRule="auto"/>
    </w:pPr>
    <w:rPr>
      <w:rFonts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97F"/>
    <w:pPr>
      <w:spacing w:after="0" w:line="240" w:lineRule="auto"/>
    </w:pPr>
  </w:style>
  <w:style w:type="character" w:styleId="Hyperlink">
    <w:name w:val="Hyperlink"/>
    <w:basedOn w:val="DefaultParagraphFont"/>
    <w:uiPriority w:val="99"/>
    <w:unhideWhenUsed/>
    <w:rsid w:val="008828F9"/>
    <w:rPr>
      <w:color w:val="0000FF"/>
      <w:u w:val="single"/>
    </w:rPr>
  </w:style>
  <w:style w:type="paragraph" w:customStyle="1" w:styleId="yahoo-quoted-begin">
    <w:name w:val="yahoo-quoted-begin"/>
    <w:basedOn w:val="Normal"/>
    <w:rsid w:val="008828F9"/>
    <w:pPr>
      <w:spacing w:before="100" w:beforeAutospacing="1" w:after="100" w:afterAutospacing="1"/>
    </w:pPr>
  </w:style>
  <w:style w:type="paragraph" w:customStyle="1" w:styleId="yiv4426565282msonormal">
    <w:name w:val="yiv4426565282msonormal"/>
    <w:basedOn w:val="Normal"/>
    <w:rsid w:val="008828F9"/>
    <w:pPr>
      <w:spacing w:before="100" w:beforeAutospacing="1" w:after="100" w:afterAutospacing="1"/>
    </w:pPr>
  </w:style>
  <w:style w:type="paragraph" w:styleId="ListParagraph">
    <w:name w:val="List Paragraph"/>
    <w:basedOn w:val="Normal"/>
    <w:uiPriority w:val="34"/>
    <w:qFormat/>
    <w:rsid w:val="00F42982"/>
    <w:pPr>
      <w:ind w:left="720"/>
      <w:contextualSpacing/>
    </w:pPr>
  </w:style>
  <w:style w:type="character" w:styleId="FollowedHyperlink">
    <w:name w:val="FollowedHyperlink"/>
    <w:basedOn w:val="DefaultParagraphFont"/>
    <w:uiPriority w:val="99"/>
    <w:semiHidden/>
    <w:unhideWhenUsed/>
    <w:rsid w:val="002662BD"/>
    <w:rPr>
      <w:color w:val="954F72" w:themeColor="followedHyperlink"/>
      <w:u w:val="single"/>
    </w:rPr>
  </w:style>
  <w:style w:type="paragraph" w:styleId="FootnoteText">
    <w:name w:val="footnote text"/>
    <w:basedOn w:val="Normal"/>
    <w:link w:val="FootnoteTextChar"/>
    <w:uiPriority w:val="99"/>
    <w:semiHidden/>
    <w:unhideWhenUsed/>
    <w:rsid w:val="00E17EAE"/>
    <w:rPr>
      <w:sz w:val="20"/>
      <w:szCs w:val="20"/>
    </w:rPr>
  </w:style>
  <w:style w:type="character" w:customStyle="1" w:styleId="FootnoteTextChar">
    <w:name w:val="Footnote Text Char"/>
    <w:basedOn w:val="DefaultParagraphFont"/>
    <w:link w:val="FootnoteText"/>
    <w:uiPriority w:val="99"/>
    <w:semiHidden/>
    <w:rsid w:val="00E17EAE"/>
    <w:rPr>
      <w:rFonts w:cs="Times New Roman"/>
      <w:color w:val="auto"/>
      <w:sz w:val="20"/>
      <w:szCs w:val="20"/>
    </w:rPr>
  </w:style>
  <w:style w:type="character" w:styleId="FootnoteReference">
    <w:name w:val="footnote reference"/>
    <w:basedOn w:val="DefaultParagraphFont"/>
    <w:uiPriority w:val="99"/>
    <w:semiHidden/>
    <w:unhideWhenUsed/>
    <w:rsid w:val="00E17EAE"/>
    <w:rPr>
      <w:vertAlign w:val="superscript"/>
    </w:rPr>
  </w:style>
  <w:style w:type="paragraph" w:styleId="BalloonText">
    <w:name w:val="Balloon Text"/>
    <w:basedOn w:val="Normal"/>
    <w:link w:val="BalloonTextChar"/>
    <w:uiPriority w:val="99"/>
    <w:semiHidden/>
    <w:unhideWhenUsed/>
    <w:rsid w:val="00821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FE"/>
    <w:rPr>
      <w:rFonts w:ascii="Segoe UI" w:hAnsi="Segoe UI" w:cs="Segoe UI"/>
      <w:color w:val="auto"/>
      <w:sz w:val="18"/>
      <w:szCs w:val="18"/>
    </w:rPr>
  </w:style>
  <w:style w:type="paragraph" w:styleId="Header">
    <w:name w:val="header"/>
    <w:basedOn w:val="Normal"/>
    <w:link w:val="HeaderChar"/>
    <w:uiPriority w:val="99"/>
    <w:unhideWhenUsed/>
    <w:rsid w:val="00BC480B"/>
    <w:pPr>
      <w:tabs>
        <w:tab w:val="center" w:pos="4680"/>
        <w:tab w:val="right" w:pos="9360"/>
      </w:tabs>
    </w:pPr>
  </w:style>
  <w:style w:type="character" w:customStyle="1" w:styleId="HeaderChar">
    <w:name w:val="Header Char"/>
    <w:basedOn w:val="DefaultParagraphFont"/>
    <w:link w:val="Header"/>
    <w:uiPriority w:val="99"/>
    <w:rsid w:val="00BC480B"/>
    <w:rPr>
      <w:rFonts w:cs="Times New Roman"/>
      <w:color w:val="auto"/>
      <w:szCs w:val="24"/>
    </w:rPr>
  </w:style>
  <w:style w:type="paragraph" w:styleId="Footer">
    <w:name w:val="footer"/>
    <w:basedOn w:val="Normal"/>
    <w:link w:val="FooterChar"/>
    <w:uiPriority w:val="99"/>
    <w:unhideWhenUsed/>
    <w:rsid w:val="00BC480B"/>
    <w:pPr>
      <w:tabs>
        <w:tab w:val="center" w:pos="4680"/>
        <w:tab w:val="right" w:pos="9360"/>
      </w:tabs>
    </w:pPr>
  </w:style>
  <w:style w:type="character" w:customStyle="1" w:styleId="FooterChar">
    <w:name w:val="Footer Char"/>
    <w:basedOn w:val="DefaultParagraphFont"/>
    <w:link w:val="Footer"/>
    <w:uiPriority w:val="99"/>
    <w:rsid w:val="00BC480B"/>
    <w:rPr>
      <w:rFonts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001186">
      <w:bodyDiv w:val="1"/>
      <w:marLeft w:val="0"/>
      <w:marRight w:val="0"/>
      <w:marTop w:val="0"/>
      <w:marBottom w:val="0"/>
      <w:divBdr>
        <w:top w:val="none" w:sz="0" w:space="0" w:color="auto"/>
        <w:left w:val="none" w:sz="0" w:space="0" w:color="auto"/>
        <w:bottom w:val="none" w:sz="0" w:space="0" w:color="auto"/>
        <w:right w:val="none" w:sz="0" w:space="0" w:color="auto"/>
      </w:divBdr>
    </w:div>
    <w:div w:id="14091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14349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2020-07-02T13:25:00Z</dcterms:created>
  <dcterms:modified xsi:type="dcterms:W3CDTF">2020-07-02T13:25:00Z</dcterms:modified>
</cp:coreProperties>
</file>